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C7039">
      <w:pPr>
        <w:spacing w:line="560" w:lineRule="exact"/>
        <w:ind w:right="-58"/>
        <w:rPr>
          <w:rFonts w:hint="eastAsia" w:ascii="方正黑体_GBK" w:hAnsi="方正黑体_GBK" w:eastAsia="方正黑体_GBK" w:cs="方正黑体_GBK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szCs w:val="32"/>
        </w:rPr>
        <w:t>附件1</w:t>
      </w:r>
    </w:p>
    <w:p w14:paraId="1B34E819">
      <w:pPr>
        <w:spacing w:line="560" w:lineRule="exact"/>
        <w:jc w:val="center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大学生职业规划大赛成长赛道方案</w:t>
      </w:r>
    </w:p>
    <w:bookmarkEnd w:id="0"/>
    <w:p w14:paraId="678AA465">
      <w:pPr>
        <w:spacing w:line="540" w:lineRule="exact"/>
        <w:jc w:val="center"/>
        <w:rPr>
          <w:rFonts w:eastAsia="黑体" w:cs="仿宋_GB2312"/>
          <w:bCs/>
          <w:color w:val="000000"/>
          <w:szCs w:val="32"/>
        </w:rPr>
      </w:pPr>
    </w:p>
    <w:p w14:paraId="3BFE5074">
      <w:pPr>
        <w:spacing w:line="54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1CEE2B7C">
      <w:pPr>
        <w:spacing w:line="540" w:lineRule="exact"/>
        <w:ind w:firstLine="640" w:firstLineChars="200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4C43E7E4">
      <w:pPr>
        <w:spacing w:line="54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54952362">
      <w:pPr>
        <w:spacing w:line="540" w:lineRule="exact"/>
        <w:ind w:firstLine="640" w:firstLineChars="200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成长赛道设高教组和职教组，</w:t>
      </w:r>
      <w:r>
        <w:rPr>
          <w:rFonts w:hint="eastAsia" w:ascii="仿宋_GB2312" w:hAnsi="仿宋_GB2312" w:cs="仿宋_GB2312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Cs w:val="32"/>
        </w:rPr>
        <w:t>高等学校全日制</w:t>
      </w:r>
      <w:r>
        <w:rPr>
          <w:rFonts w:hint="eastAsia" w:cs="仿宋_GB2312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Cs w:val="32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Cs w:val="32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2312E095">
      <w:pPr>
        <w:spacing w:line="54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1017CAE6">
      <w:pPr>
        <w:spacing w:line="540" w:lineRule="exact"/>
        <w:ind w:firstLine="640" w:firstLineChars="200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79468960">
      <w:pPr>
        <w:spacing w:line="540" w:lineRule="exact"/>
        <w:ind w:firstLine="640" w:firstLineChars="200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5088832D">
      <w:pPr>
        <w:spacing w:line="540" w:lineRule="exact"/>
        <w:ind w:firstLine="640" w:firstLineChars="200"/>
        <w:rPr>
          <w:rFonts w:hint="eastAsia" w:cs="仿宋_GB2312"/>
        </w:rPr>
      </w:pPr>
      <w:r>
        <w:rPr>
          <w:rFonts w:hint="eastAsia" w:cs="仿宋_GB2312"/>
        </w:rPr>
        <w:t>（二）生涯发展展示（PPT格式，不超过50MB）。</w:t>
      </w:r>
    </w:p>
    <w:p w14:paraId="053B1D2A">
      <w:pPr>
        <w:spacing w:line="540" w:lineRule="exact"/>
        <w:ind w:firstLine="640" w:firstLineChars="200"/>
        <w:rPr>
          <w:rFonts w:cs="仿宋_GB2312"/>
          <w:color w:val="000000"/>
        </w:rPr>
      </w:pPr>
      <w:r>
        <w:rPr>
          <w:rFonts w:hint="eastAsia" w:cs="仿宋_GB2312"/>
          <w:color w:val="000000"/>
        </w:rPr>
        <w:t>（三）进入省级复赛的选手，</w:t>
      </w:r>
      <w:r>
        <w:rPr>
          <w:rFonts w:eastAsia="仿宋_GB2312"/>
          <w:color w:val="000000"/>
          <w:szCs w:val="32"/>
        </w:rPr>
        <w:t>需</w:t>
      </w:r>
      <w:r>
        <w:rPr>
          <w:rFonts w:hint="eastAsia" w:eastAsia="仿宋_GB2312"/>
          <w:color w:val="000000"/>
          <w:szCs w:val="32"/>
        </w:rPr>
        <w:t>在指定平台提交生涯发展报告、生涯发展展示及视频（生涯发展展示的影像视频，时间不超过4分钟，文件为</w:t>
      </w:r>
      <w:r>
        <w:rPr>
          <w:rFonts w:eastAsia="仿宋_GB2312"/>
          <w:color w:val="000000"/>
          <w:szCs w:val="32"/>
        </w:rPr>
        <w:t>MP4</w:t>
      </w:r>
      <w:r>
        <w:rPr>
          <w:rFonts w:hint="eastAsia" w:eastAsia="仿宋_GB2312"/>
          <w:color w:val="000000"/>
          <w:szCs w:val="32"/>
        </w:rPr>
        <w:t>格式，要求画面清晰，播放流畅，大小不超过4</w:t>
      </w:r>
      <w:r>
        <w:rPr>
          <w:rFonts w:eastAsia="仿宋_GB2312"/>
          <w:color w:val="000000"/>
          <w:szCs w:val="32"/>
        </w:rPr>
        <w:t>00M</w:t>
      </w:r>
      <w:r>
        <w:rPr>
          <w:rFonts w:hint="eastAsia" w:eastAsia="仿宋_GB2312"/>
          <w:color w:val="000000"/>
          <w:szCs w:val="32"/>
        </w:rPr>
        <w:t>）</w:t>
      </w:r>
      <w:r>
        <w:rPr>
          <w:rFonts w:eastAsia="仿宋_GB2312"/>
          <w:color w:val="000000"/>
          <w:szCs w:val="32"/>
        </w:rPr>
        <w:t>。</w:t>
      </w:r>
    </w:p>
    <w:p w14:paraId="376DE9C1">
      <w:pPr>
        <w:spacing w:line="54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33383BC2">
      <w:pPr>
        <w:snapToGrid w:val="0"/>
        <w:spacing w:line="540" w:lineRule="exact"/>
        <w:ind w:firstLine="640"/>
        <w:rPr>
          <w:rFonts w:eastAsia="仿宋_GB2312"/>
          <w:color w:val="000000"/>
          <w:szCs w:val="32"/>
        </w:rPr>
      </w:pPr>
      <w:r>
        <w:rPr>
          <w:rFonts w:hint="eastAsia" w:eastAsia="仿宋_GB2312"/>
          <w:color w:val="000000"/>
          <w:szCs w:val="32"/>
        </w:rPr>
        <w:t>（一）省赛复赛：</w:t>
      </w:r>
      <w:r>
        <w:rPr>
          <w:rFonts w:eastAsia="仿宋_GB2312"/>
          <w:color w:val="000000"/>
          <w:szCs w:val="32"/>
        </w:rPr>
        <w:t>参照全国</w:t>
      </w:r>
      <w:r>
        <w:rPr>
          <w:rFonts w:hint="eastAsia" w:eastAsia="仿宋_GB2312"/>
          <w:color w:val="000000"/>
          <w:szCs w:val="32"/>
        </w:rPr>
        <w:t>总</w:t>
      </w:r>
      <w:r>
        <w:rPr>
          <w:rFonts w:eastAsia="仿宋_GB2312"/>
          <w:color w:val="000000"/>
          <w:szCs w:val="32"/>
        </w:rPr>
        <w:t>决赛评审规则，</w:t>
      </w:r>
      <w:r>
        <w:rPr>
          <w:rFonts w:hint="eastAsia" w:eastAsia="仿宋_GB2312"/>
          <w:color w:val="000000"/>
          <w:szCs w:val="32"/>
        </w:rPr>
        <w:t>评委对参赛材料进行网络评审，确定入围省级决赛参赛选手。</w:t>
      </w:r>
    </w:p>
    <w:p w14:paraId="3242AF35">
      <w:pPr>
        <w:spacing w:line="540" w:lineRule="exact"/>
        <w:ind w:firstLine="640" w:firstLineChars="200"/>
        <w:rPr>
          <w:rFonts w:eastAsia="仿宋_GB2312"/>
          <w:color w:val="000000"/>
          <w:szCs w:val="32"/>
        </w:rPr>
      </w:pPr>
      <w:r>
        <w:rPr>
          <w:rFonts w:hint="eastAsia" w:eastAsia="仿宋_GB2312"/>
          <w:color w:val="000000"/>
          <w:szCs w:val="32"/>
        </w:rPr>
        <w:t>（二）省级决赛：具体事宜另行通知。</w:t>
      </w:r>
    </w:p>
    <w:p w14:paraId="54814FA8">
      <w:pPr>
        <w:spacing w:line="540" w:lineRule="exact"/>
        <w:ind w:firstLine="640" w:firstLineChars="200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1.主题陈述（7分钟）：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70F3767E">
      <w:pPr>
        <w:spacing w:line="540" w:lineRule="exact"/>
        <w:ind w:firstLine="640" w:firstLineChars="200"/>
        <w:rPr>
          <w:rFonts w:ascii="仿宋_GB2312" w:hAnsi="仿宋_GB2312" w:cs="仿宋_GB2312"/>
          <w:color w:val="000000"/>
          <w:szCs w:val="32"/>
        </w:rPr>
      </w:pPr>
      <w:r>
        <w:rPr>
          <w:rFonts w:hint="eastAsia" w:cs="仿宋_GB2312"/>
        </w:rPr>
        <w:t>2.评委提问（5分钟）：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68148341">
      <w:pPr>
        <w:numPr>
          <w:ilvl w:val="0"/>
          <w:numId w:val="1"/>
        </w:numPr>
        <w:spacing w:line="56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2"/>
        <w:tblpPr w:leftFromText="180" w:rightFromText="180" w:vertAnchor="text" w:horzAnchor="page" w:tblpXSpec="center" w:tblpY="68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2"/>
      </w:tblGrid>
      <w:tr w14:paraId="6EDB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  <w:jc w:val="center"/>
        </w:trPr>
        <w:tc>
          <w:tcPr>
            <w:tcW w:w="797" w:type="pct"/>
            <w:noWrap w:val="0"/>
            <w:vAlign w:val="center"/>
          </w:tcPr>
          <w:p w14:paraId="693DD8E6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noWrap w:val="0"/>
            <w:vAlign w:val="center"/>
          </w:tcPr>
          <w:p w14:paraId="1D6743F5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noWrap w:val="0"/>
            <w:vAlign w:val="center"/>
          </w:tcPr>
          <w:p w14:paraId="35034A04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6D788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exact"/>
          <w:jc w:val="center"/>
        </w:trPr>
        <w:tc>
          <w:tcPr>
            <w:tcW w:w="797" w:type="pct"/>
            <w:vMerge w:val="restart"/>
            <w:noWrap w:val="0"/>
            <w:vAlign w:val="center"/>
          </w:tcPr>
          <w:p w14:paraId="548485D4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noWrap w:val="0"/>
            <w:vAlign w:val="center"/>
          </w:tcPr>
          <w:p w14:paraId="606BB869">
            <w:pPr>
              <w:spacing w:line="52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4FBEFD7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6567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  <w:jc w:val="center"/>
        </w:trPr>
        <w:tc>
          <w:tcPr>
            <w:tcW w:w="797" w:type="pct"/>
            <w:vMerge w:val="continue"/>
            <w:noWrap w:val="0"/>
            <w:vAlign w:val="center"/>
          </w:tcPr>
          <w:p w14:paraId="11A971EC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noWrap w:val="0"/>
            <w:vAlign w:val="center"/>
          </w:tcPr>
          <w:p w14:paraId="69F77D65">
            <w:pPr>
              <w:spacing w:line="52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195837EC">
            <w:pPr>
              <w:jc w:val="center"/>
              <w:rPr>
                <w:sz w:val="28"/>
                <w:szCs w:val="28"/>
              </w:rPr>
            </w:pPr>
          </w:p>
        </w:tc>
      </w:tr>
      <w:tr w14:paraId="23EAC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97" w:type="pct"/>
            <w:vMerge w:val="restart"/>
            <w:noWrap w:val="0"/>
            <w:vAlign w:val="center"/>
          </w:tcPr>
          <w:p w14:paraId="4759F79D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noWrap w:val="0"/>
            <w:vAlign w:val="center"/>
          </w:tcPr>
          <w:p w14:paraId="2E244F81">
            <w:pPr>
              <w:spacing w:line="52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71DE94D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192E6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97" w:type="pct"/>
            <w:vMerge w:val="continue"/>
            <w:noWrap w:val="0"/>
            <w:vAlign w:val="center"/>
          </w:tcPr>
          <w:p w14:paraId="6AE680BB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noWrap w:val="0"/>
            <w:vAlign w:val="center"/>
          </w:tcPr>
          <w:p w14:paraId="4691980F">
            <w:pPr>
              <w:spacing w:line="52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26AB5319">
            <w:pPr>
              <w:jc w:val="center"/>
              <w:rPr>
                <w:sz w:val="28"/>
                <w:szCs w:val="28"/>
              </w:rPr>
            </w:pPr>
          </w:p>
        </w:tc>
      </w:tr>
      <w:tr w14:paraId="2B3CF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797" w:type="pct"/>
            <w:vMerge w:val="continue"/>
            <w:noWrap w:val="0"/>
            <w:vAlign w:val="center"/>
          </w:tcPr>
          <w:p w14:paraId="1CBBCE20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noWrap w:val="0"/>
            <w:vAlign w:val="center"/>
          </w:tcPr>
          <w:p w14:paraId="3A16395B">
            <w:pPr>
              <w:spacing w:line="520" w:lineRule="exact"/>
              <w:jc w:val="lef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2CCC121A">
            <w:pPr>
              <w:jc w:val="center"/>
              <w:rPr>
                <w:sz w:val="28"/>
                <w:szCs w:val="28"/>
              </w:rPr>
            </w:pPr>
          </w:p>
        </w:tc>
      </w:tr>
      <w:tr w14:paraId="2BE3E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797" w:type="pct"/>
            <w:vMerge w:val="restart"/>
            <w:noWrap w:val="0"/>
            <w:vAlign w:val="center"/>
          </w:tcPr>
          <w:p w14:paraId="31707A11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noWrap w:val="0"/>
            <w:vAlign w:val="center"/>
          </w:tcPr>
          <w:p w14:paraId="4D334AB0">
            <w:pPr>
              <w:spacing w:line="52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noWrap w:val="0"/>
            <w:vAlign w:val="center"/>
          </w:tcPr>
          <w:p w14:paraId="6B4008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7C4E5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797" w:type="pct"/>
            <w:vMerge w:val="continue"/>
            <w:noWrap w:val="0"/>
            <w:vAlign w:val="center"/>
          </w:tcPr>
          <w:p w14:paraId="027D3898">
            <w:pPr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noWrap w:val="0"/>
            <w:vAlign w:val="center"/>
          </w:tcPr>
          <w:p w14:paraId="19227378">
            <w:pPr>
              <w:spacing w:line="52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noWrap w:val="0"/>
            <w:vAlign w:val="center"/>
          </w:tcPr>
          <w:p w14:paraId="53F73773">
            <w:pPr>
              <w:jc w:val="center"/>
              <w:rPr>
                <w:sz w:val="28"/>
                <w:szCs w:val="28"/>
              </w:rPr>
            </w:pPr>
          </w:p>
        </w:tc>
      </w:tr>
      <w:tr w14:paraId="43578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97" w:type="pct"/>
            <w:noWrap w:val="0"/>
            <w:vAlign w:val="center"/>
          </w:tcPr>
          <w:p w14:paraId="3331753F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noWrap w:val="0"/>
            <w:vAlign w:val="center"/>
          </w:tcPr>
          <w:p w14:paraId="24DE2317">
            <w:pPr>
              <w:rPr>
                <w:sz w:val="26"/>
                <w:szCs w:val="26"/>
              </w:rPr>
            </w:pPr>
          </w:p>
        </w:tc>
        <w:tc>
          <w:tcPr>
            <w:tcW w:w="471" w:type="pct"/>
            <w:noWrap w:val="0"/>
            <w:vAlign w:val="center"/>
          </w:tcPr>
          <w:p w14:paraId="04F601EF">
            <w:pPr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C0300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EEAA2C-F2FE-44AB-A8D9-A97C855CED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597A09E-FA34-473B-B135-26E80640DC54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20B93BE-3F9C-4AF9-B6A5-1C027C3632A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B386577F-076C-4C81-822A-5B6918186F7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131CC"/>
    <w:rsid w:val="37B1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2026-10-21T08:07:00Z</dcterms:created>
  <dc:creator>奇异ºair</dc:creator>
  <cp:lastModifiedBy>奇异ºair</cp:lastModifiedBy>
  <dcterms:modified xsi:type="dcterms:W3CDTF">2026-10-21T08:09:48Z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BB818E4C7CCB4D7284FC1059086102C1_11</vt:lpwstr>
  </property>
  <property fmtid="{D5CDD505-2E9C-101B-9397-08002B2CF9AE}" pid="4" name="KSOTemplateDocerSaveRecord">
    <vt:lpwstr>eyJoZGlkIjoiZTA0NDI5NTY2MjYxOTBiYzM4N2UyMjBlMGM3NTU4ODgiLCJ1c2VySWQiOiI0OTYwMTcyNjEifQ==</vt:lpwstr>
  </property>
</Properties>
</file>