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Ansi="宋体"/>
          <w:b/>
          <w:sz w:val="52"/>
          <w:szCs w:val="52"/>
        </w:rPr>
      </w:pPr>
      <w:bookmarkStart w:id="0" w:name="_Toc215567871"/>
    </w:p>
    <w:p>
      <w:pPr>
        <w:jc w:val="center"/>
        <w:rPr>
          <w:rFonts w:hAnsi="宋体"/>
          <w:b/>
          <w:sz w:val="52"/>
          <w:szCs w:val="52"/>
        </w:rPr>
      </w:pPr>
      <w:r>
        <w:rPr>
          <w:rFonts w:hint="eastAsia" w:hAnsi="宋体"/>
          <w:b/>
          <w:sz w:val="52"/>
          <w:szCs w:val="52"/>
        </w:rPr>
        <w:t>安徽职业技术学院招标文件</w:t>
      </w:r>
    </w:p>
    <w:p>
      <w:pPr>
        <w:rPr>
          <w:rFonts w:hAnsi="宋体"/>
          <w:b/>
          <w:sz w:val="52"/>
          <w:szCs w:val="52"/>
        </w:rPr>
      </w:pPr>
    </w:p>
    <w:p>
      <w:pPr>
        <w:jc w:val="center"/>
        <w:rPr>
          <w:rFonts w:hAnsi="宋体"/>
          <w:b/>
          <w:sz w:val="52"/>
          <w:szCs w:val="52"/>
        </w:rPr>
      </w:pPr>
    </w:p>
    <w:p>
      <w:pPr>
        <w:jc w:val="center"/>
        <w:rPr>
          <w:bCs/>
          <w:sz w:val="32"/>
          <w:szCs w:val="32"/>
        </w:rPr>
      </w:pPr>
      <w:r>
        <w:rPr>
          <w:rFonts w:ascii="黑体" w:hAnsi="黑体" w:eastAsia="黑体"/>
          <w:b/>
          <w:sz w:val="56"/>
        </w:rPr>
        <w:drawing>
          <wp:inline distT="0" distB="0" distL="0" distR="0">
            <wp:extent cx="2038350" cy="20383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2038350" cy="2038350"/>
                    </a:xfrm>
                    <a:prstGeom prst="rect">
                      <a:avLst/>
                    </a:prstGeom>
                    <a:noFill/>
                    <a:ln>
                      <a:noFill/>
                    </a:ln>
                  </pic:spPr>
                </pic:pic>
              </a:graphicData>
            </a:graphic>
          </wp:inline>
        </w:drawing>
      </w:r>
    </w:p>
    <w:p>
      <w:pPr>
        <w:autoSpaceDE w:val="0"/>
        <w:autoSpaceDN w:val="0"/>
        <w:spacing w:line="360" w:lineRule="auto"/>
        <w:textAlignment w:val="bottom"/>
        <w:rPr>
          <w:bCs/>
          <w:sz w:val="32"/>
          <w:szCs w:val="32"/>
        </w:rPr>
      </w:pPr>
    </w:p>
    <w:p>
      <w:pPr>
        <w:autoSpaceDE w:val="0"/>
        <w:autoSpaceDN w:val="0"/>
        <w:spacing w:line="360" w:lineRule="auto"/>
        <w:textAlignment w:val="bottom"/>
        <w:rPr>
          <w:bCs/>
          <w:sz w:val="32"/>
          <w:szCs w:val="32"/>
        </w:rPr>
      </w:pPr>
    </w:p>
    <w:p>
      <w:pPr>
        <w:autoSpaceDE w:val="0"/>
        <w:autoSpaceDN w:val="0"/>
        <w:spacing w:line="360" w:lineRule="auto"/>
        <w:textAlignment w:val="bottom"/>
        <w:rPr>
          <w:bCs/>
          <w:sz w:val="32"/>
          <w:szCs w:val="32"/>
        </w:rPr>
      </w:pPr>
    </w:p>
    <w:p>
      <w:pPr>
        <w:autoSpaceDE w:val="0"/>
        <w:autoSpaceDN w:val="0"/>
        <w:spacing w:line="360" w:lineRule="auto"/>
        <w:ind w:left="630" w:leftChars="300"/>
        <w:jc w:val="center"/>
        <w:textAlignment w:val="bottom"/>
        <w:rPr>
          <w:rFonts w:hAnsi="宋体"/>
          <w:b/>
          <w:color w:val="000000"/>
          <w:sz w:val="28"/>
          <w:szCs w:val="28"/>
        </w:rPr>
      </w:pPr>
      <w:r>
        <w:rPr>
          <w:rFonts w:hint="eastAsia" w:hAnsi="宋体"/>
          <w:b/>
          <w:color w:val="000000"/>
          <w:sz w:val="28"/>
          <w:szCs w:val="28"/>
        </w:rPr>
        <w:t>项目名称： 2018年信息系统安全等级保护测评服务</w:t>
      </w:r>
    </w:p>
    <w:p>
      <w:pPr>
        <w:autoSpaceDE w:val="0"/>
        <w:autoSpaceDN w:val="0"/>
        <w:spacing w:line="360" w:lineRule="auto"/>
        <w:ind w:left="630" w:leftChars="300" w:firstLine="1124" w:firstLineChars="400"/>
        <w:textAlignment w:val="bottom"/>
        <w:rPr>
          <w:rFonts w:hAnsi="宋体"/>
          <w:b/>
          <w:color w:val="000000"/>
          <w:sz w:val="28"/>
          <w:szCs w:val="28"/>
        </w:rPr>
      </w:pPr>
      <w:r>
        <w:rPr>
          <w:rFonts w:hint="eastAsia" w:hAnsi="宋体"/>
          <w:b/>
          <w:color w:val="000000"/>
          <w:sz w:val="28"/>
          <w:szCs w:val="28"/>
        </w:rPr>
        <w:t>项目编号：AZY-2018-042</w:t>
      </w:r>
    </w:p>
    <w:p>
      <w:pPr>
        <w:autoSpaceDE w:val="0"/>
        <w:autoSpaceDN w:val="0"/>
        <w:spacing w:line="360" w:lineRule="auto"/>
        <w:ind w:left="630" w:leftChars="300" w:firstLine="1124" w:firstLineChars="400"/>
        <w:textAlignment w:val="bottom"/>
        <w:rPr>
          <w:rFonts w:hAnsi="宋体"/>
          <w:b/>
          <w:color w:val="000000"/>
          <w:sz w:val="28"/>
          <w:szCs w:val="28"/>
        </w:rPr>
      </w:pPr>
      <w:r>
        <w:rPr>
          <w:rFonts w:hint="eastAsia" w:hAnsi="宋体"/>
          <w:b/>
          <w:color w:val="000000"/>
          <w:sz w:val="28"/>
          <w:szCs w:val="28"/>
        </w:rPr>
        <w:t>采购人：安徽职业技术学院</w:t>
      </w:r>
    </w:p>
    <w:p>
      <w:pPr>
        <w:autoSpaceDE w:val="0"/>
        <w:autoSpaceDN w:val="0"/>
        <w:spacing w:line="360" w:lineRule="auto"/>
        <w:ind w:left="630" w:leftChars="300" w:firstLine="1124" w:firstLineChars="400"/>
        <w:textAlignment w:val="bottom"/>
        <w:rPr>
          <w:rFonts w:hAnsi="宋体"/>
          <w:b/>
          <w:color w:val="000000"/>
          <w:sz w:val="28"/>
          <w:szCs w:val="28"/>
        </w:rPr>
      </w:pPr>
      <w:r>
        <w:rPr>
          <w:rFonts w:hint="eastAsia" w:hAnsi="宋体"/>
          <w:b/>
          <w:color w:val="000000"/>
          <w:sz w:val="28"/>
          <w:szCs w:val="28"/>
        </w:rPr>
        <w:t>采购时间：2018年7月</w:t>
      </w:r>
    </w:p>
    <w:p>
      <w:pPr>
        <w:autoSpaceDE w:val="0"/>
        <w:autoSpaceDN w:val="0"/>
        <w:spacing w:line="360" w:lineRule="auto"/>
        <w:jc w:val="center"/>
        <w:textAlignment w:val="bottom"/>
        <w:rPr>
          <w:rFonts w:hAnsi="宋体"/>
          <w:b/>
          <w:color w:val="000000"/>
          <w:sz w:val="30"/>
          <w:szCs w:val="30"/>
        </w:rPr>
      </w:pPr>
    </w:p>
    <w:p>
      <w:pPr>
        <w:adjustRightInd w:val="0"/>
        <w:snapToGrid w:val="0"/>
        <w:spacing w:line="500" w:lineRule="atLeast"/>
        <w:jc w:val="center"/>
        <w:rPr>
          <w:rFonts w:hAnsi="宋体"/>
          <w:sz w:val="24"/>
        </w:rPr>
        <w:sectPr>
          <w:headerReference r:id="rId3" w:type="default"/>
          <w:headerReference r:id="rId4" w:type="even"/>
          <w:pgSz w:w="11906" w:h="16838"/>
          <w:pgMar w:top="1134" w:right="1134" w:bottom="1134" w:left="1134" w:header="567" w:footer="567" w:gutter="0"/>
          <w:pgNumType w:start="1" w:chapStyle="1" w:chapSep="emDash"/>
          <w:cols w:space="425" w:num="1"/>
          <w:titlePg/>
          <w:docGrid w:type="lines" w:linePitch="312" w:charSpace="0"/>
        </w:sectPr>
      </w:pPr>
    </w:p>
    <w:p>
      <w:pPr>
        <w:pStyle w:val="25"/>
        <w:spacing w:line="432" w:lineRule="auto"/>
        <w:jc w:val="center"/>
        <w:rPr>
          <w:rFonts w:ascii="Verdana" w:hAnsi="Verdana" w:eastAsia="å®‹ä½“"/>
          <w:b/>
          <w:color w:val="000000"/>
          <w:sz w:val="30"/>
          <w:szCs w:val="30"/>
        </w:rPr>
      </w:pPr>
      <w:r>
        <w:rPr>
          <w:rFonts w:hint="eastAsia" w:ascii="å®‹ä½“" w:eastAsia="å®‹ä½“"/>
          <w:b/>
          <w:color w:val="000000"/>
          <w:sz w:val="30"/>
          <w:szCs w:val="30"/>
        </w:rPr>
        <w:t>安徽职业技术学院信息系统安全等级保护测评服务招标公告(第二次)</w:t>
      </w:r>
    </w:p>
    <w:p>
      <w:pPr>
        <w:pStyle w:val="25"/>
        <w:wordWrap w:val="0"/>
        <w:spacing w:line="432" w:lineRule="auto"/>
        <w:ind w:firstLine="480" w:firstLineChars="200"/>
        <w:rPr>
          <w:rFonts w:ascii="Times New Roman" w:cs="Times New Roman"/>
          <w:color w:val="000000"/>
          <w:kern w:val="2"/>
        </w:rPr>
      </w:pPr>
      <w:r>
        <w:rPr>
          <w:rFonts w:ascii="Times New Roman" w:cs="Times New Roman"/>
          <w:color w:val="000000"/>
          <w:kern w:val="2"/>
        </w:rPr>
        <w:t>经学校批准，现</w:t>
      </w:r>
      <w:r>
        <w:rPr>
          <w:rFonts w:hint="eastAsia" w:ascii="Times New Roman" w:cs="Times New Roman"/>
          <w:color w:val="000000"/>
          <w:kern w:val="2"/>
        </w:rPr>
        <w:t>以公开招标方式对“</w:t>
      </w:r>
      <w:r>
        <w:rPr>
          <w:rFonts w:ascii="Times New Roman" w:cs="Times New Roman"/>
          <w:color w:val="000000"/>
          <w:kern w:val="2"/>
        </w:rPr>
        <w:t>安徽职业技术学院</w:t>
      </w:r>
      <w:r>
        <w:rPr>
          <w:rFonts w:hint="eastAsia" w:ascii="Times New Roman" w:cs="Times New Roman"/>
          <w:color w:val="000000"/>
          <w:kern w:val="2"/>
        </w:rPr>
        <w:t>信息系统安全等级保护测评服务”项目</w:t>
      </w:r>
      <w:r>
        <w:rPr>
          <w:rFonts w:ascii="Times New Roman" w:cs="Times New Roman"/>
          <w:color w:val="000000"/>
          <w:kern w:val="2"/>
        </w:rPr>
        <w:t>进行</w:t>
      </w:r>
      <w:r>
        <w:rPr>
          <w:rFonts w:hint="eastAsia" w:ascii="Times New Roman" w:cs="Times New Roman"/>
          <w:color w:val="000000"/>
          <w:kern w:val="2"/>
        </w:rPr>
        <w:t>采购</w:t>
      </w:r>
      <w:r>
        <w:rPr>
          <w:rFonts w:ascii="Times New Roman" w:cs="Times New Roman"/>
          <w:color w:val="000000"/>
          <w:kern w:val="2"/>
        </w:rPr>
        <w:t>，欢迎具备条件的国内</w:t>
      </w:r>
      <w:r>
        <w:rPr>
          <w:rFonts w:hint="eastAsia" w:ascii="Times New Roman" w:cs="Times New Roman"/>
          <w:color w:val="000000"/>
          <w:kern w:val="2"/>
        </w:rPr>
        <w:t>供应商参与</w:t>
      </w:r>
      <w:r>
        <w:rPr>
          <w:rFonts w:ascii="Times New Roman" w:cs="Times New Roman"/>
          <w:color w:val="000000"/>
          <w:kern w:val="2"/>
        </w:rPr>
        <w:t>投标。</w:t>
      </w:r>
    </w:p>
    <w:p>
      <w:pPr>
        <w:pStyle w:val="25"/>
        <w:wordWrap w:val="0"/>
        <w:spacing w:line="432" w:lineRule="auto"/>
        <w:rPr>
          <w:rFonts w:ascii="Times New Roman" w:cs="Times New Roman"/>
          <w:color w:val="000000"/>
          <w:kern w:val="2"/>
        </w:rPr>
      </w:pPr>
      <w:r>
        <w:rPr>
          <w:rFonts w:ascii="Times New Roman" w:cs="Times New Roman"/>
          <w:color w:val="000000"/>
          <w:kern w:val="2"/>
        </w:rPr>
        <w:t>一、项目名称及内容</w:t>
      </w:r>
      <w:r>
        <w:rPr>
          <w:rFonts w:ascii="Times New Roman" w:cs="Times New Roman"/>
          <w:color w:val="000000"/>
          <w:kern w:val="2"/>
        </w:rPr>
        <w:br w:type="textWrapping"/>
      </w:r>
      <w:r>
        <w:rPr>
          <w:rFonts w:ascii="Times New Roman" w:cs="Times New Roman"/>
          <w:color w:val="000000"/>
          <w:kern w:val="2"/>
        </w:rPr>
        <w:t>1、项目编号：AZY-2018-</w:t>
      </w:r>
      <w:r>
        <w:rPr>
          <w:rFonts w:hint="eastAsia" w:ascii="Times New Roman" w:cs="Times New Roman"/>
          <w:color w:val="000000"/>
          <w:kern w:val="2"/>
        </w:rPr>
        <w:t>042</w:t>
      </w:r>
      <w:r>
        <w:rPr>
          <w:rFonts w:ascii="Times New Roman" w:cs="Times New Roman"/>
          <w:color w:val="000000"/>
          <w:kern w:val="2"/>
        </w:rPr>
        <w:br w:type="textWrapping"/>
      </w:r>
      <w:r>
        <w:rPr>
          <w:rFonts w:ascii="Times New Roman" w:cs="Times New Roman"/>
          <w:color w:val="000000"/>
          <w:kern w:val="2"/>
        </w:rPr>
        <w:t>2、项目名称：</w:t>
      </w:r>
      <w:r>
        <w:rPr>
          <w:rFonts w:hint="eastAsia" w:ascii="Times New Roman" w:cs="Times New Roman"/>
          <w:color w:val="000000"/>
          <w:kern w:val="2"/>
        </w:rPr>
        <w:t>安徽职业技术学院信息系统安全等级保护测评服务</w:t>
      </w:r>
      <w:r>
        <w:rPr>
          <w:rFonts w:ascii="Times New Roman" w:cs="Times New Roman"/>
          <w:color w:val="000000"/>
          <w:kern w:val="2"/>
        </w:rPr>
        <w:br w:type="textWrapping"/>
      </w:r>
      <w:r>
        <w:rPr>
          <w:rFonts w:ascii="Times New Roman" w:cs="Times New Roman"/>
          <w:color w:val="000000"/>
          <w:kern w:val="2"/>
        </w:rPr>
        <w:t xml:space="preserve">3、项目单位：安徽职业技术学院 </w:t>
      </w:r>
      <w:r>
        <w:rPr>
          <w:rFonts w:ascii="Times New Roman" w:cs="Times New Roman"/>
          <w:color w:val="000000"/>
          <w:kern w:val="2"/>
        </w:rPr>
        <w:br w:type="textWrapping"/>
      </w:r>
      <w:r>
        <w:rPr>
          <w:rFonts w:ascii="Times New Roman" w:cs="Times New Roman"/>
          <w:color w:val="000000"/>
          <w:kern w:val="2"/>
        </w:rPr>
        <w:t xml:space="preserve">4、资金来源：财政性资金 </w:t>
      </w:r>
      <w:r>
        <w:rPr>
          <w:rFonts w:ascii="Times New Roman" w:cs="Times New Roman"/>
          <w:color w:val="000000"/>
          <w:kern w:val="2"/>
        </w:rPr>
        <w:br w:type="textWrapping"/>
      </w:r>
      <w:r>
        <w:rPr>
          <w:rFonts w:ascii="Times New Roman" w:cs="Times New Roman"/>
          <w:color w:val="000000"/>
          <w:kern w:val="2"/>
        </w:rPr>
        <w:t>5、项目预算：</w:t>
      </w:r>
      <w:r>
        <w:rPr>
          <w:rFonts w:hint="eastAsia" w:ascii="Times New Roman" w:cs="Times New Roman"/>
          <w:color w:val="000000"/>
          <w:kern w:val="2"/>
        </w:rPr>
        <w:t>12.5</w:t>
      </w:r>
      <w:r>
        <w:rPr>
          <w:rFonts w:ascii="Times New Roman" w:cs="Times New Roman"/>
          <w:color w:val="000000"/>
          <w:kern w:val="2"/>
        </w:rPr>
        <w:t>万元</w:t>
      </w:r>
      <w:r>
        <w:rPr>
          <w:rFonts w:ascii="Times New Roman" w:cs="Times New Roman"/>
          <w:color w:val="000000"/>
          <w:kern w:val="2"/>
        </w:rPr>
        <w:br w:type="textWrapping"/>
      </w:r>
      <w:r>
        <w:rPr>
          <w:rFonts w:ascii="Times New Roman" w:cs="Times New Roman"/>
          <w:color w:val="000000"/>
          <w:kern w:val="2"/>
        </w:rPr>
        <w:t>6、最高限价：</w:t>
      </w:r>
      <w:r>
        <w:rPr>
          <w:rFonts w:hint="eastAsia" w:ascii="Times New Roman" w:cs="Times New Roman"/>
          <w:color w:val="000000"/>
          <w:kern w:val="2"/>
        </w:rPr>
        <w:t>12.5</w:t>
      </w:r>
      <w:r>
        <w:rPr>
          <w:rFonts w:ascii="Times New Roman" w:cs="Times New Roman"/>
          <w:color w:val="000000"/>
          <w:kern w:val="2"/>
        </w:rPr>
        <w:t>万元</w:t>
      </w:r>
      <w:r>
        <w:rPr>
          <w:rFonts w:ascii="Times New Roman" w:cs="Times New Roman"/>
          <w:color w:val="000000"/>
          <w:kern w:val="2"/>
        </w:rPr>
        <w:br w:type="textWrapping"/>
      </w:r>
      <w:r>
        <w:rPr>
          <w:rFonts w:ascii="Times New Roman" w:cs="Times New Roman"/>
          <w:color w:val="000000"/>
          <w:kern w:val="2"/>
        </w:rPr>
        <w:t>7、标段划分：无</w:t>
      </w:r>
      <w:r>
        <w:rPr>
          <w:rFonts w:ascii="Times New Roman" w:cs="Times New Roman"/>
          <w:color w:val="000000"/>
          <w:kern w:val="2"/>
        </w:rPr>
        <w:br w:type="textWrapping"/>
      </w:r>
      <w:r>
        <w:rPr>
          <w:rFonts w:ascii="Times New Roman" w:cs="Times New Roman"/>
          <w:color w:val="000000"/>
          <w:kern w:val="2"/>
        </w:rPr>
        <w:t>二、投标人资格要求</w:t>
      </w:r>
      <w:r>
        <w:rPr>
          <w:rFonts w:ascii="Times New Roman" w:cs="Times New Roman"/>
          <w:color w:val="000000"/>
          <w:kern w:val="2"/>
        </w:rPr>
        <w:br w:type="textWrapping"/>
      </w:r>
      <w:r>
        <w:rPr>
          <w:rFonts w:ascii="Times New Roman" w:cs="Times New Roman"/>
          <w:color w:val="000000"/>
          <w:kern w:val="2"/>
        </w:rPr>
        <w:t>1、投标人应符合《中华人民共和国政府采购法》第二十二条的要求</w:t>
      </w:r>
      <w:r>
        <w:rPr>
          <w:rFonts w:ascii="Times New Roman" w:cs="Times New Roman"/>
          <w:color w:val="000000"/>
          <w:kern w:val="2"/>
        </w:rPr>
        <w:br w:type="textWrapping"/>
      </w:r>
      <w:r>
        <w:rPr>
          <w:rFonts w:ascii="Times New Roman" w:cs="Times New Roman"/>
          <w:color w:val="000000"/>
          <w:kern w:val="2"/>
        </w:rPr>
        <w:t>2、</w:t>
      </w:r>
      <w:r>
        <w:rPr>
          <w:rFonts w:hint="eastAsia" w:ascii="Times New Roman" w:cs="Times New Roman"/>
          <w:color w:val="000000"/>
          <w:kern w:val="2"/>
        </w:rPr>
        <w:t>投标人必须为安徽省信息安全等级保护工作协调小组推荐的测评机构(提供测评机构注册营业执照及测评推荐证书扫描件)</w:t>
      </w:r>
      <w:r>
        <w:rPr>
          <w:rFonts w:ascii="Times New Roman" w:cs="Times New Roman"/>
          <w:color w:val="000000"/>
          <w:kern w:val="2"/>
        </w:rPr>
        <w:br w:type="textWrapping"/>
      </w:r>
      <w:r>
        <w:rPr>
          <w:rFonts w:ascii="Times New Roman" w:cs="Times New Roman"/>
          <w:color w:val="000000"/>
          <w:kern w:val="2"/>
        </w:rPr>
        <w:t>3、本项目不接受联合体投标。</w:t>
      </w:r>
      <w:r>
        <w:rPr>
          <w:rFonts w:ascii="Times New Roman" w:cs="Times New Roman"/>
          <w:color w:val="000000"/>
          <w:kern w:val="2"/>
        </w:rPr>
        <w:br w:type="textWrapping"/>
      </w:r>
      <w:r>
        <w:rPr>
          <w:rFonts w:ascii="Times New Roman" w:cs="Times New Roman"/>
          <w:color w:val="000000"/>
          <w:kern w:val="2"/>
        </w:rPr>
        <w:t>三、报名及招标文件发售办法</w:t>
      </w:r>
      <w:r>
        <w:rPr>
          <w:rFonts w:ascii="Times New Roman" w:cs="Times New Roman"/>
          <w:color w:val="000000"/>
          <w:kern w:val="2"/>
        </w:rPr>
        <w:br w:type="textWrapping"/>
      </w:r>
      <w:r>
        <w:rPr>
          <w:rFonts w:ascii="Times New Roman" w:cs="Times New Roman"/>
          <w:color w:val="000000"/>
          <w:kern w:val="2"/>
        </w:rPr>
        <w:t>1、报名时间：2018年</w:t>
      </w:r>
      <w:r>
        <w:rPr>
          <w:rFonts w:hint="eastAsia" w:ascii="Times New Roman" w:cs="Times New Roman"/>
          <w:color w:val="000000"/>
          <w:kern w:val="2"/>
        </w:rPr>
        <w:t>7</w:t>
      </w:r>
      <w:r>
        <w:rPr>
          <w:rFonts w:ascii="Times New Roman" w:cs="Times New Roman"/>
          <w:color w:val="000000"/>
          <w:kern w:val="2"/>
        </w:rPr>
        <w:t>月</w:t>
      </w:r>
      <w:r>
        <w:rPr>
          <w:rFonts w:hint="eastAsia" w:ascii="Times New Roman" w:cs="Times New Roman"/>
          <w:color w:val="000000"/>
          <w:kern w:val="2"/>
        </w:rPr>
        <w:t>12</w:t>
      </w:r>
      <w:r>
        <w:rPr>
          <w:rFonts w:ascii="Times New Roman" w:cs="Times New Roman"/>
          <w:color w:val="000000"/>
          <w:kern w:val="2"/>
        </w:rPr>
        <w:t>日至2018年</w:t>
      </w:r>
      <w:r>
        <w:rPr>
          <w:rFonts w:hint="eastAsia" w:ascii="Times New Roman" w:cs="Times New Roman"/>
          <w:color w:val="000000"/>
          <w:kern w:val="2"/>
        </w:rPr>
        <w:t>7</w:t>
      </w:r>
      <w:r>
        <w:rPr>
          <w:rFonts w:ascii="Times New Roman" w:cs="Times New Roman"/>
          <w:color w:val="000000"/>
          <w:kern w:val="2"/>
        </w:rPr>
        <w:t>月</w:t>
      </w:r>
      <w:r>
        <w:rPr>
          <w:rFonts w:hint="eastAsia" w:ascii="Times New Roman" w:cs="Times New Roman"/>
          <w:color w:val="000000"/>
          <w:kern w:val="2"/>
        </w:rPr>
        <w:t>1</w:t>
      </w:r>
      <w:r>
        <w:rPr>
          <w:rFonts w:hint="eastAsia" w:ascii="Times New Roman" w:cs="Times New Roman"/>
          <w:color w:val="000000"/>
          <w:kern w:val="2"/>
          <w:lang w:val="en-US" w:eastAsia="zh-CN"/>
        </w:rPr>
        <w:t>7</w:t>
      </w:r>
      <w:r>
        <w:rPr>
          <w:rFonts w:ascii="Times New Roman" w:cs="Times New Roman"/>
          <w:color w:val="000000"/>
          <w:kern w:val="2"/>
        </w:rPr>
        <w:t>日（16:00 截止）</w:t>
      </w:r>
      <w:r>
        <w:rPr>
          <w:rFonts w:ascii="Times New Roman" w:cs="Times New Roman"/>
          <w:color w:val="000000"/>
          <w:kern w:val="2"/>
        </w:rPr>
        <w:br w:type="textWrapping"/>
      </w:r>
      <w:r>
        <w:rPr>
          <w:rFonts w:ascii="Times New Roman" w:cs="Times New Roman"/>
          <w:color w:val="000000"/>
          <w:kern w:val="2"/>
        </w:rPr>
        <w:t>2、报名时请提交报名登记表电子版一份，文件请发送至邮箱3514383943@qq.com，邮件标题请注明项目及报名单位名称，不提交报名登记表的不得参与投标。（报名登记表格式请参见本公告发布网页的“文件下载”一栏）</w:t>
      </w:r>
      <w:r>
        <w:rPr>
          <w:rFonts w:ascii="Times New Roman" w:cs="Times New Roman"/>
          <w:color w:val="000000"/>
          <w:kern w:val="2"/>
        </w:rPr>
        <w:br w:type="textWrapping"/>
      </w:r>
      <w:r>
        <w:rPr>
          <w:rFonts w:ascii="Times New Roman" w:cs="Times New Roman"/>
          <w:color w:val="000000"/>
          <w:kern w:val="2"/>
        </w:rPr>
        <w:t>3、招标文件获取方式</w:t>
      </w:r>
      <w:r>
        <w:rPr>
          <w:rFonts w:ascii="Times New Roman" w:cs="Times New Roman"/>
          <w:color w:val="000000"/>
          <w:kern w:val="2"/>
        </w:rPr>
        <w:br w:type="textWrapping"/>
      </w:r>
      <w:r>
        <w:rPr>
          <w:rFonts w:ascii="Times New Roman" w:cs="Times New Roman"/>
          <w:color w:val="000000"/>
          <w:kern w:val="2"/>
        </w:rPr>
        <w:t>自招标公告发布之日起从招标公告发布网页自行下载。</w:t>
      </w:r>
      <w:r>
        <w:rPr>
          <w:rFonts w:ascii="Times New Roman" w:cs="Times New Roman"/>
          <w:color w:val="000000"/>
          <w:kern w:val="2"/>
        </w:rPr>
        <w:br w:type="textWrapping"/>
      </w:r>
      <w:r>
        <w:rPr>
          <w:rFonts w:ascii="Times New Roman" w:cs="Times New Roman"/>
          <w:color w:val="000000"/>
          <w:kern w:val="2"/>
        </w:rPr>
        <w:t>四、开标时间及地点</w:t>
      </w:r>
      <w:r>
        <w:rPr>
          <w:rFonts w:ascii="Times New Roman" w:cs="Times New Roman"/>
          <w:color w:val="000000"/>
          <w:kern w:val="2"/>
        </w:rPr>
        <w:br w:type="textWrapping"/>
      </w:r>
      <w:r>
        <w:rPr>
          <w:rFonts w:ascii="Times New Roman" w:cs="Times New Roman"/>
          <w:color w:val="000000"/>
          <w:kern w:val="2"/>
        </w:rPr>
        <w:t>1、开标时间：2018年</w:t>
      </w:r>
      <w:r>
        <w:rPr>
          <w:rFonts w:hint="eastAsia" w:ascii="Times New Roman" w:cs="Times New Roman"/>
          <w:color w:val="000000"/>
          <w:kern w:val="2"/>
        </w:rPr>
        <w:t xml:space="preserve"> 7</w:t>
      </w:r>
      <w:r>
        <w:rPr>
          <w:rFonts w:ascii="Times New Roman" w:cs="Times New Roman"/>
          <w:color w:val="000000"/>
          <w:kern w:val="2"/>
        </w:rPr>
        <w:t>月</w:t>
      </w:r>
      <w:r>
        <w:rPr>
          <w:rFonts w:hint="eastAsia" w:ascii="Times New Roman" w:cs="Times New Roman"/>
          <w:color w:val="000000"/>
          <w:kern w:val="2"/>
        </w:rPr>
        <w:t xml:space="preserve"> 19</w:t>
      </w:r>
      <w:r>
        <w:rPr>
          <w:rFonts w:ascii="Times New Roman" w:cs="Times New Roman"/>
          <w:color w:val="000000"/>
          <w:kern w:val="2"/>
        </w:rPr>
        <w:t>日 上午9：30 时</w:t>
      </w:r>
      <w:r>
        <w:rPr>
          <w:rFonts w:ascii="Times New Roman" w:cs="Times New Roman"/>
          <w:color w:val="000000"/>
          <w:kern w:val="2"/>
        </w:rPr>
        <w:br w:type="textWrapping"/>
      </w:r>
      <w:r>
        <w:rPr>
          <w:rFonts w:ascii="Times New Roman" w:cs="Times New Roman"/>
          <w:color w:val="000000"/>
          <w:kern w:val="2"/>
        </w:rPr>
        <w:t>2、开标地点：安徽职业技术学院行政楼1127室</w:t>
      </w:r>
      <w:r>
        <w:rPr>
          <w:rFonts w:ascii="Times New Roman" w:cs="Times New Roman"/>
          <w:color w:val="000000"/>
          <w:kern w:val="2"/>
        </w:rPr>
        <w:br w:type="textWrapping"/>
      </w:r>
      <w:r>
        <w:rPr>
          <w:rFonts w:ascii="Times New Roman" w:cs="Times New Roman"/>
          <w:color w:val="000000"/>
          <w:kern w:val="2"/>
        </w:rPr>
        <w:t>五、投标截止时间</w:t>
      </w:r>
      <w:r>
        <w:rPr>
          <w:rFonts w:ascii="Times New Roman" w:cs="Times New Roman"/>
          <w:color w:val="000000"/>
          <w:kern w:val="2"/>
        </w:rPr>
        <w:br w:type="textWrapping"/>
      </w:r>
      <w:r>
        <w:rPr>
          <w:rFonts w:ascii="Times New Roman" w:cs="Times New Roman"/>
          <w:color w:val="000000"/>
          <w:kern w:val="2"/>
        </w:rPr>
        <w:t>同开标时间</w:t>
      </w:r>
      <w:r>
        <w:rPr>
          <w:rFonts w:ascii="Times New Roman" w:cs="Times New Roman"/>
          <w:color w:val="000000"/>
          <w:kern w:val="2"/>
        </w:rPr>
        <w:br w:type="textWrapping"/>
      </w:r>
      <w:r>
        <w:rPr>
          <w:rFonts w:ascii="Times New Roman" w:cs="Times New Roman"/>
          <w:color w:val="000000"/>
          <w:kern w:val="2"/>
        </w:rPr>
        <w:t xml:space="preserve">六：联系方法 </w:t>
      </w:r>
      <w:r>
        <w:rPr>
          <w:rFonts w:ascii="Times New Roman" w:cs="Times New Roman"/>
          <w:color w:val="000000"/>
          <w:kern w:val="2"/>
        </w:rPr>
        <w:br w:type="textWrapping"/>
      </w:r>
      <w:r>
        <w:rPr>
          <w:rFonts w:ascii="Times New Roman" w:cs="Times New Roman"/>
          <w:color w:val="000000"/>
          <w:kern w:val="2"/>
        </w:rPr>
        <w:t xml:space="preserve">地址：合肥市新站区文忠路安徽职业技术学院 </w:t>
      </w:r>
      <w:r>
        <w:rPr>
          <w:rFonts w:ascii="Times New Roman" w:cs="Times New Roman"/>
          <w:color w:val="000000"/>
          <w:kern w:val="2"/>
        </w:rPr>
        <w:br w:type="textWrapping"/>
      </w:r>
      <w:r>
        <w:rPr>
          <w:rFonts w:ascii="Times New Roman" w:cs="Times New Roman"/>
          <w:color w:val="000000"/>
          <w:kern w:val="2"/>
        </w:rPr>
        <w:t xml:space="preserve">联系人： 张老师 </w:t>
      </w:r>
      <w:r>
        <w:rPr>
          <w:rFonts w:ascii="Times New Roman" w:cs="Times New Roman"/>
          <w:color w:val="000000"/>
          <w:kern w:val="2"/>
        </w:rPr>
        <w:br w:type="textWrapping"/>
      </w:r>
      <w:r>
        <w:rPr>
          <w:rFonts w:ascii="Times New Roman" w:cs="Times New Roman"/>
          <w:color w:val="000000"/>
          <w:kern w:val="2"/>
        </w:rPr>
        <w:t xml:space="preserve">电 话： 0551-64680165 </w:t>
      </w:r>
    </w:p>
    <w:p>
      <w:pPr>
        <w:adjustRightInd w:val="0"/>
        <w:snapToGrid w:val="0"/>
        <w:spacing w:line="500" w:lineRule="atLeast"/>
        <w:jc w:val="center"/>
        <w:rPr>
          <w:rFonts w:hAnsi="宋体"/>
          <w:sz w:val="24"/>
        </w:rPr>
        <w:sectPr>
          <w:pgSz w:w="11906" w:h="16838"/>
          <w:pgMar w:top="1134" w:right="1134" w:bottom="1134" w:left="1134" w:header="567" w:footer="567" w:gutter="0"/>
          <w:pgNumType w:start="1" w:chapStyle="1" w:chapSep="emDash"/>
          <w:cols w:space="425" w:num="1"/>
          <w:titlePg/>
          <w:docGrid w:type="lines" w:linePitch="312" w:charSpace="0"/>
        </w:sectPr>
      </w:pPr>
    </w:p>
    <w:p>
      <w:pPr>
        <w:pStyle w:val="2"/>
        <w:keepNext w:val="0"/>
        <w:keepLines w:val="0"/>
        <w:pageBreakBefore/>
        <w:numPr>
          <w:ilvl w:val="0"/>
          <w:numId w:val="0"/>
        </w:numPr>
        <w:jc w:val="center"/>
        <w:rPr>
          <w:bCs w:val="0"/>
          <w:sz w:val="28"/>
          <w:szCs w:val="28"/>
        </w:rPr>
      </w:pPr>
      <w:bookmarkStart w:id="1" w:name="_Toc517076091"/>
      <w:r>
        <w:rPr>
          <w:bCs w:val="0"/>
          <w:sz w:val="28"/>
          <w:szCs w:val="28"/>
        </w:rPr>
        <w:t>投标人须知</w:t>
      </w:r>
      <w:bookmarkEnd w:id="0"/>
      <w:bookmarkEnd w:id="1"/>
    </w:p>
    <w:p>
      <w:pPr>
        <w:numPr>
          <w:ilvl w:val="1"/>
          <w:numId w:val="3"/>
        </w:numPr>
        <w:spacing w:after="156" w:afterLines="50" w:line="360" w:lineRule="auto"/>
        <w:outlineLvl w:val="1"/>
        <w:rPr>
          <w:b/>
          <w:sz w:val="24"/>
        </w:rPr>
      </w:pPr>
      <w:bookmarkStart w:id="2" w:name="_Toc215567872"/>
      <w:bookmarkStart w:id="3" w:name="_Toc211192920"/>
      <w:r>
        <w:rPr>
          <w:rFonts w:hint="eastAsia" w:hAnsi="宋体"/>
          <w:b/>
          <w:sz w:val="24"/>
        </w:rPr>
        <w:t xml:space="preserve"> </w:t>
      </w:r>
      <w:bookmarkStart w:id="4" w:name="_Toc517076092"/>
      <w:r>
        <w:rPr>
          <w:rFonts w:hAnsi="宋体"/>
          <w:b/>
          <w:sz w:val="24"/>
        </w:rPr>
        <w:t>导则</w:t>
      </w:r>
      <w:bookmarkEnd w:id="2"/>
      <w:bookmarkEnd w:id="3"/>
      <w:bookmarkEnd w:id="4"/>
    </w:p>
    <w:p>
      <w:pPr>
        <w:pStyle w:val="13"/>
        <w:spacing w:line="360" w:lineRule="auto"/>
        <w:ind w:left="720" w:hanging="720" w:hangingChars="300"/>
        <w:rPr>
          <w:rFonts w:hAnsi="宋体"/>
          <w:sz w:val="24"/>
          <w:szCs w:val="24"/>
        </w:rPr>
      </w:pPr>
      <w:r>
        <w:rPr>
          <w:rFonts w:hint="eastAsia" w:hAnsi="宋体"/>
          <w:color w:val="000000"/>
          <w:sz w:val="24"/>
          <w:szCs w:val="24"/>
        </w:rPr>
        <w:t>1</w:t>
      </w:r>
      <w:r>
        <w:rPr>
          <w:rFonts w:hAnsi="宋体"/>
          <w:color w:val="000000"/>
          <w:sz w:val="24"/>
          <w:szCs w:val="24"/>
        </w:rPr>
        <w:t>.1.1 项目名</w:t>
      </w:r>
      <w:r>
        <w:rPr>
          <w:rFonts w:hAnsi="宋体"/>
          <w:sz w:val="24"/>
          <w:szCs w:val="24"/>
        </w:rPr>
        <w:t>称：安徽职业技术学院</w:t>
      </w:r>
      <w:r>
        <w:rPr>
          <w:rFonts w:hint="eastAsia" w:hAnsi="宋体"/>
          <w:sz w:val="24"/>
        </w:rPr>
        <w:t>信息系统安全等级保护测评服务</w:t>
      </w:r>
    </w:p>
    <w:p>
      <w:pPr>
        <w:pStyle w:val="13"/>
        <w:spacing w:line="360" w:lineRule="auto"/>
        <w:ind w:left="720" w:hanging="720" w:hangingChars="300"/>
        <w:rPr>
          <w:rFonts w:hAnsi="宋体"/>
          <w:color w:val="000000"/>
          <w:sz w:val="24"/>
          <w:szCs w:val="24"/>
        </w:rPr>
      </w:pPr>
      <w:r>
        <w:rPr>
          <w:rFonts w:hint="eastAsia" w:hAnsi="宋体"/>
          <w:color w:val="000000"/>
          <w:sz w:val="24"/>
          <w:szCs w:val="24"/>
        </w:rPr>
        <w:t>1</w:t>
      </w:r>
      <w:r>
        <w:rPr>
          <w:rFonts w:hAnsi="宋体"/>
          <w:color w:val="000000"/>
          <w:sz w:val="24"/>
          <w:szCs w:val="24"/>
        </w:rPr>
        <w:t>.1.2 招标人：</w:t>
      </w:r>
      <w:r>
        <w:rPr>
          <w:rFonts w:hint="eastAsia" w:hAnsi="宋体"/>
          <w:color w:val="000000"/>
          <w:sz w:val="24"/>
          <w:szCs w:val="24"/>
        </w:rPr>
        <w:t>安徽职业技术学院</w:t>
      </w:r>
    </w:p>
    <w:p>
      <w:pPr>
        <w:pStyle w:val="13"/>
        <w:spacing w:line="360" w:lineRule="auto"/>
        <w:ind w:left="720" w:hanging="720" w:hangingChars="300"/>
        <w:rPr>
          <w:rFonts w:hAnsi="宋体"/>
          <w:color w:val="000000"/>
          <w:sz w:val="24"/>
          <w:szCs w:val="24"/>
        </w:rPr>
      </w:pPr>
      <w:r>
        <w:rPr>
          <w:rFonts w:hint="eastAsia" w:hAnsi="宋体"/>
          <w:color w:val="000000"/>
          <w:sz w:val="24"/>
          <w:szCs w:val="24"/>
        </w:rPr>
        <w:t>1</w:t>
      </w:r>
      <w:r>
        <w:rPr>
          <w:rFonts w:hAnsi="宋体"/>
          <w:color w:val="000000"/>
          <w:sz w:val="24"/>
          <w:szCs w:val="24"/>
        </w:rPr>
        <w:t>.1.3 投标人：投标人应符合《中华人民共和国政府采购法》第二十二条的要求。</w:t>
      </w:r>
      <w:r>
        <w:rPr>
          <w:rFonts w:hint="eastAsia" w:hAnsi="宋体"/>
          <w:color w:val="000000"/>
          <w:sz w:val="24"/>
          <w:szCs w:val="24"/>
        </w:rPr>
        <w:t>投标人必须为</w:t>
      </w:r>
      <w:r>
        <w:rPr>
          <w:rFonts w:hint="eastAsia" w:hAnsi="宋体"/>
          <w:color w:val="000000"/>
          <w:sz w:val="24"/>
        </w:rPr>
        <w:t>安徽省信息安全等级保护工作协调小组推荐的测评机构(提供测评机构注册营业执照及测评推荐证书扫描件)。本项目不接受联合体投标。</w:t>
      </w:r>
    </w:p>
    <w:p>
      <w:pPr>
        <w:pStyle w:val="13"/>
        <w:spacing w:line="360" w:lineRule="auto"/>
        <w:ind w:left="720" w:hanging="720" w:hangingChars="300"/>
        <w:rPr>
          <w:rFonts w:hAnsi="宋体"/>
          <w:color w:val="000000"/>
          <w:sz w:val="24"/>
          <w:szCs w:val="24"/>
        </w:rPr>
      </w:pPr>
      <w:r>
        <w:rPr>
          <w:rFonts w:hint="eastAsia" w:hAnsi="宋体"/>
          <w:color w:val="000000"/>
          <w:sz w:val="24"/>
          <w:szCs w:val="24"/>
        </w:rPr>
        <w:t>1</w:t>
      </w:r>
      <w:r>
        <w:rPr>
          <w:rFonts w:hAnsi="宋体"/>
          <w:color w:val="000000"/>
          <w:sz w:val="24"/>
          <w:szCs w:val="24"/>
        </w:rPr>
        <w:t>.1.4 中标人：最终授予合同的投标人。</w:t>
      </w:r>
    </w:p>
    <w:p>
      <w:pPr>
        <w:numPr>
          <w:ilvl w:val="1"/>
          <w:numId w:val="3"/>
        </w:numPr>
        <w:spacing w:after="156" w:afterLines="50" w:line="360" w:lineRule="auto"/>
        <w:outlineLvl w:val="1"/>
        <w:rPr>
          <w:rFonts w:hAnsi="宋体"/>
          <w:b/>
          <w:sz w:val="24"/>
        </w:rPr>
      </w:pPr>
      <w:bookmarkStart w:id="5" w:name="_Toc517076093"/>
      <w:bookmarkStart w:id="6" w:name="_Toc215567873"/>
      <w:r>
        <w:rPr>
          <w:rFonts w:hAnsi="宋体"/>
          <w:b/>
          <w:sz w:val="24"/>
        </w:rPr>
        <w:t>术语定义</w:t>
      </w:r>
      <w:bookmarkEnd w:id="5"/>
      <w:bookmarkEnd w:id="6"/>
    </w:p>
    <w:p>
      <w:pPr>
        <w:tabs>
          <w:tab w:val="left" w:pos="0"/>
        </w:tabs>
        <w:spacing w:line="360" w:lineRule="auto"/>
        <w:ind w:firstLine="480" w:firstLineChars="200"/>
        <w:rPr>
          <w:rFonts w:hAnsi="宋体"/>
          <w:kern w:val="0"/>
          <w:sz w:val="24"/>
        </w:rPr>
      </w:pPr>
      <w:r>
        <w:rPr>
          <w:rFonts w:hAnsi="宋体"/>
          <w:kern w:val="0"/>
          <w:sz w:val="24"/>
        </w:rPr>
        <w:t>保密信息：指双方签订和执行合同过程中接触和产生的所有文件和成果信息，包括所有软件、软件目录、文件、信息、数据、图纸、基准测试、技术规格、商业秘密等。</w:t>
      </w:r>
    </w:p>
    <w:p>
      <w:pPr>
        <w:numPr>
          <w:ilvl w:val="1"/>
          <w:numId w:val="3"/>
        </w:numPr>
        <w:spacing w:after="156" w:afterLines="50" w:line="360" w:lineRule="auto"/>
        <w:outlineLvl w:val="1"/>
        <w:rPr>
          <w:rFonts w:hAnsi="宋体"/>
          <w:b/>
          <w:sz w:val="24"/>
        </w:rPr>
      </w:pPr>
      <w:bookmarkStart w:id="7" w:name="_Toc517076094"/>
      <w:bookmarkStart w:id="8" w:name="_Toc215567874"/>
      <w:r>
        <w:rPr>
          <w:rFonts w:hAnsi="宋体"/>
          <w:b/>
          <w:sz w:val="24"/>
        </w:rPr>
        <w:t>项目概况</w:t>
      </w:r>
      <w:bookmarkEnd w:id="7"/>
      <w:bookmarkEnd w:id="8"/>
    </w:p>
    <w:p>
      <w:pPr>
        <w:spacing w:after="156" w:afterLines="50" w:line="360" w:lineRule="auto"/>
        <w:rPr>
          <w:rFonts w:hAnsi="宋体"/>
          <w:b/>
          <w:sz w:val="24"/>
        </w:rPr>
      </w:pPr>
      <w:r>
        <w:rPr>
          <w:rFonts w:hint="eastAsia" w:hAnsi="宋体"/>
          <w:kern w:val="0"/>
          <w:sz w:val="24"/>
        </w:rPr>
        <w:t>本次参于安全等级保护测评的为4个信息系统及如下描述的服务，</w:t>
      </w:r>
      <w:r>
        <w:rPr>
          <w:rFonts w:hint="eastAsia" w:hAnsi="宋体"/>
          <w:color w:val="000000"/>
          <w:sz w:val="24"/>
        </w:rPr>
        <w:t>预算金额：</w:t>
      </w:r>
      <w:r>
        <w:rPr>
          <w:rFonts w:hint="eastAsia" w:hAnsi="宋体"/>
          <w:color w:val="000000"/>
          <w:sz w:val="24"/>
          <w:u w:val="single"/>
        </w:rPr>
        <w:t>12.5万</w:t>
      </w:r>
      <w:r>
        <w:rPr>
          <w:rFonts w:hint="eastAsia" w:hAnsi="宋体"/>
          <w:color w:val="000000"/>
          <w:sz w:val="24"/>
        </w:rPr>
        <w:t>。</w:t>
      </w:r>
    </w:p>
    <w:tbl>
      <w:tblPr>
        <w:tblStyle w:val="31"/>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
        <w:gridCol w:w="3366"/>
        <w:gridCol w:w="2977"/>
        <w:gridCol w:w="2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457" w:type="dxa"/>
            <w:shd w:val="clear" w:color="auto" w:fill="F1F1F1" w:themeFill="background1" w:themeFillShade="F2"/>
            <w:vAlign w:val="center"/>
          </w:tcPr>
          <w:p>
            <w:pPr>
              <w:spacing w:line="360" w:lineRule="auto"/>
              <w:jc w:val="center"/>
              <w:rPr>
                <w:rFonts w:ascii="宋体" w:hAnsi="宋体"/>
                <w:b/>
                <w:sz w:val="24"/>
              </w:rPr>
            </w:pPr>
            <w:r>
              <w:rPr>
                <w:rFonts w:hint="eastAsia" w:ascii="宋体" w:hAnsi="宋体"/>
                <w:b/>
                <w:sz w:val="24"/>
              </w:rPr>
              <w:t>序号</w:t>
            </w:r>
          </w:p>
        </w:tc>
        <w:tc>
          <w:tcPr>
            <w:tcW w:w="3366" w:type="dxa"/>
            <w:shd w:val="clear" w:color="auto" w:fill="F1F1F1" w:themeFill="background1" w:themeFillShade="F2"/>
            <w:vAlign w:val="center"/>
          </w:tcPr>
          <w:p>
            <w:pPr>
              <w:spacing w:line="360" w:lineRule="auto"/>
              <w:jc w:val="center"/>
              <w:rPr>
                <w:rFonts w:ascii="宋体" w:hAnsi="宋体"/>
                <w:b/>
                <w:sz w:val="24"/>
              </w:rPr>
            </w:pPr>
            <w:r>
              <w:rPr>
                <w:rFonts w:hint="eastAsia" w:ascii="宋体" w:hAnsi="宋体"/>
                <w:b/>
                <w:sz w:val="24"/>
              </w:rPr>
              <w:t>服务内容</w:t>
            </w:r>
          </w:p>
        </w:tc>
        <w:tc>
          <w:tcPr>
            <w:tcW w:w="2977" w:type="dxa"/>
            <w:shd w:val="clear" w:color="auto" w:fill="F1F1F1" w:themeFill="background1" w:themeFillShade="F2"/>
            <w:vAlign w:val="center"/>
          </w:tcPr>
          <w:p>
            <w:pPr>
              <w:spacing w:line="360" w:lineRule="auto"/>
              <w:jc w:val="center"/>
              <w:rPr>
                <w:rFonts w:ascii="宋体" w:hAnsi="宋体"/>
                <w:b/>
                <w:sz w:val="24"/>
              </w:rPr>
            </w:pPr>
            <w:r>
              <w:rPr>
                <w:rFonts w:hint="eastAsia" w:ascii="宋体" w:hAnsi="宋体"/>
                <w:b/>
                <w:sz w:val="24"/>
              </w:rPr>
              <w:t>系统名称</w:t>
            </w:r>
          </w:p>
        </w:tc>
        <w:tc>
          <w:tcPr>
            <w:tcW w:w="2272" w:type="dxa"/>
            <w:shd w:val="clear" w:color="auto" w:fill="F1F1F1" w:themeFill="background1" w:themeFillShade="F2"/>
            <w:vAlign w:val="center"/>
          </w:tcPr>
          <w:p>
            <w:pPr>
              <w:spacing w:line="360" w:lineRule="auto"/>
              <w:jc w:val="center"/>
              <w:rPr>
                <w:rFonts w:ascii="宋体" w:hAnsi="宋体"/>
                <w:b/>
                <w:sz w:val="24"/>
              </w:rPr>
            </w:pPr>
            <w:r>
              <w:rPr>
                <w:rFonts w:hint="eastAsia" w:ascii="宋体" w:hAnsi="宋体"/>
                <w:b/>
                <w:sz w:val="24"/>
              </w:rPr>
              <w:t>系统等级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457" w:type="dxa"/>
            <w:vAlign w:val="center"/>
          </w:tcPr>
          <w:p>
            <w:pPr>
              <w:spacing w:line="360" w:lineRule="auto"/>
              <w:jc w:val="center"/>
              <w:rPr>
                <w:rFonts w:ascii="宋体" w:hAnsi="宋体"/>
                <w:kern w:val="0"/>
                <w:sz w:val="24"/>
              </w:rPr>
            </w:pPr>
            <w:r>
              <w:rPr>
                <w:rFonts w:hint="eastAsia" w:ascii="宋体" w:hAnsi="宋体"/>
                <w:kern w:val="0"/>
                <w:sz w:val="24"/>
              </w:rPr>
              <w:t>1</w:t>
            </w:r>
          </w:p>
        </w:tc>
        <w:tc>
          <w:tcPr>
            <w:tcW w:w="3366" w:type="dxa"/>
            <w:vAlign w:val="center"/>
          </w:tcPr>
          <w:p>
            <w:pPr>
              <w:jc w:val="center"/>
            </w:pPr>
            <w:r>
              <w:rPr>
                <w:rFonts w:hint="eastAsia" w:ascii="宋体" w:hAnsi="宋体" w:cs="宋体"/>
                <w:kern w:val="0"/>
                <w:sz w:val="24"/>
              </w:rPr>
              <w:t>信息安全等级保护测评</w:t>
            </w:r>
          </w:p>
        </w:tc>
        <w:tc>
          <w:tcPr>
            <w:tcW w:w="2977" w:type="dxa"/>
            <w:vAlign w:val="center"/>
          </w:tcPr>
          <w:p>
            <w:pPr>
              <w:autoSpaceDE w:val="0"/>
              <w:autoSpaceDN w:val="0"/>
              <w:adjustRightInd w:val="0"/>
              <w:spacing w:line="360" w:lineRule="auto"/>
              <w:jc w:val="center"/>
              <w:rPr>
                <w:rFonts w:ascii="宋体" w:hAnsi="宋体"/>
                <w:kern w:val="0"/>
                <w:sz w:val="24"/>
              </w:rPr>
            </w:pPr>
            <w:r>
              <w:rPr>
                <w:rFonts w:hint="eastAsia" w:ascii="宋体" w:hAnsi="宋体"/>
                <w:sz w:val="24"/>
              </w:rPr>
              <w:t>校园一卡通系统</w:t>
            </w:r>
          </w:p>
        </w:tc>
        <w:tc>
          <w:tcPr>
            <w:tcW w:w="2272" w:type="dxa"/>
            <w:vAlign w:val="center"/>
          </w:tcPr>
          <w:p>
            <w:pPr>
              <w:spacing w:line="360" w:lineRule="auto"/>
              <w:jc w:val="center"/>
              <w:rPr>
                <w:rFonts w:ascii="宋体" w:hAnsi="宋体"/>
                <w:kern w:val="0"/>
                <w:sz w:val="24"/>
              </w:rPr>
            </w:pPr>
            <w:r>
              <w:rPr>
                <w:rFonts w:hint="eastAsia" w:ascii="宋体" w:hAnsi="宋体"/>
                <w:kern w:val="0"/>
                <w:sz w:val="24"/>
              </w:rPr>
              <w:t>二级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457" w:type="dxa"/>
            <w:vAlign w:val="center"/>
          </w:tcPr>
          <w:p>
            <w:pPr>
              <w:spacing w:line="360" w:lineRule="auto"/>
              <w:jc w:val="center"/>
              <w:rPr>
                <w:rFonts w:ascii="宋体" w:hAnsi="宋体"/>
                <w:kern w:val="0"/>
                <w:sz w:val="24"/>
              </w:rPr>
            </w:pPr>
            <w:r>
              <w:rPr>
                <w:rFonts w:hint="eastAsia" w:ascii="宋体" w:hAnsi="宋体"/>
                <w:kern w:val="0"/>
                <w:sz w:val="24"/>
              </w:rPr>
              <w:t>2</w:t>
            </w:r>
          </w:p>
        </w:tc>
        <w:tc>
          <w:tcPr>
            <w:tcW w:w="3366" w:type="dxa"/>
            <w:vAlign w:val="center"/>
          </w:tcPr>
          <w:p>
            <w:pPr>
              <w:jc w:val="center"/>
            </w:pPr>
            <w:r>
              <w:rPr>
                <w:rFonts w:hint="eastAsia" w:ascii="宋体" w:hAnsi="宋体" w:cs="宋体"/>
                <w:kern w:val="0"/>
                <w:sz w:val="24"/>
              </w:rPr>
              <w:t>信息安全等级保护测评</w:t>
            </w:r>
          </w:p>
        </w:tc>
        <w:tc>
          <w:tcPr>
            <w:tcW w:w="2977" w:type="dxa"/>
            <w:vAlign w:val="center"/>
          </w:tcPr>
          <w:p>
            <w:pPr>
              <w:autoSpaceDE w:val="0"/>
              <w:autoSpaceDN w:val="0"/>
              <w:adjustRightInd w:val="0"/>
              <w:spacing w:line="360" w:lineRule="auto"/>
              <w:jc w:val="center"/>
              <w:rPr>
                <w:rFonts w:ascii="宋体" w:hAnsi="宋体"/>
                <w:kern w:val="0"/>
                <w:sz w:val="24"/>
              </w:rPr>
            </w:pPr>
            <w:r>
              <w:rPr>
                <w:rFonts w:hint="eastAsia" w:ascii="宋体" w:hAnsi="宋体"/>
                <w:sz w:val="24"/>
              </w:rPr>
              <w:t>财务管理系统</w:t>
            </w:r>
          </w:p>
        </w:tc>
        <w:tc>
          <w:tcPr>
            <w:tcW w:w="2272" w:type="dxa"/>
            <w:vAlign w:val="center"/>
          </w:tcPr>
          <w:p>
            <w:pPr>
              <w:spacing w:line="360" w:lineRule="auto"/>
              <w:jc w:val="center"/>
              <w:rPr>
                <w:rFonts w:ascii="宋体" w:hAnsi="宋体"/>
                <w:kern w:val="0"/>
                <w:sz w:val="24"/>
              </w:rPr>
            </w:pPr>
            <w:r>
              <w:rPr>
                <w:rFonts w:hint="eastAsia" w:ascii="宋体" w:hAnsi="宋体"/>
                <w:kern w:val="0"/>
                <w:sz w:val="24"/>
              </w:rPr>
              <w:t>二级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457" w:type="dxa"/>
            <w:vAlign w:val="center"/>
          </w:tcPr>
          <w:p>
            <w:pPr>
              <w:spacing w:line="360" w:lineRule="auto"/>
              <w:jc w:val="center"/>
              <w:rPr>
                <w:rFonts w:ascii="宋体" w:hAnsi="宋体"/>
                <w:kern w:val="0"/>
                <w:sz w:val="24"/>
              </w:rPr>
            </w:pPr>
            <w:r>
              <w:rPr>
                <w:rFonts w:hint="eastAsia" w:ascii="宋体" w:hAnsi="宋体"/>
                <w:kern w:val="0"/>
                <w:sz w:val="24"/>
              </w:rPr>
              <w:t>3</w:t>
            </w:r>
          </w:p>
        </w:tc>
        <w:tc>
          <w:tcPr>
            <w:tcW w:w="3366" w:type="dxa"/>
            <w:vAlign w:val="center"/>
          </w:tcPr>
          <w:p>
            <w:pPr>
              <w:jc w:val="center"/>
            </w:pPr>
            <w:r>
              <w:rPr>
                <w:rFonts w:hint="eastAsia" w:ascii="宋体" w:hAnsi="宋体" w:cs="宋体"/>
                <w:kern w:val="0"/>
                <w:sz w:val="24"/>
              </w:rPr>
              <w:t>信息安全等级保护测评</w:t>
            </w:r>
          </w:p>
        </w:tc>
        <w:tc>
          <w:tcPr>
            <w:tcW w:w="2977" w:type="dxa"/>
            <w:vAlign w:val="center"/>
          </w:tcPr>
          <w:p>
            <w:pPr>
              <w:autoSpaceDE w:val="0"/>
              <w:autoSpaceDN w:val="0"/>
              <w:adjustRightInd w:val="0"/>
              <w:spacing w:line="360" w:lineRule="auto"/>
              <w:jc w:val="center"/>
              <w:rPr>
                <w:rFonts w:ascii="宋体" w:hAnsi="宋体"/>
                <w:kern w:val="0"/>
                <w:sz w:val="24"/>
              </w:rPr>
            </w:pPr>
            <w:r>
              <w:rPr>
                <w:rFonts w:hint="eastAsia" w:ascii="宋体" w:hAnsi="宋体"/>
                <w:sz w:val="24"/>
              </w:rPr>
              <w:t>网站群管理系统</w:t>
            </w:r>
          </w:p>
        </w:tc>
        <w:tc>
          <w:tcPr>
            <w:tcW w:w="2272" w:type="dxa"/>
            <w:vAlign w:val="center"/>
          </w:tcPr>
          <w:p>
            <w:pPr>
              <w:spacing w:line="360" w:lineRule="auto"/>
              <w:jc w:val="center"/>
              <w:rPr>
                <w:rFonts w:ascii="宋体" w:hAnsi="宋体"/>
                <w:kern w:val="0"/>
                <w:sz w:val="24"/>
              </w:rPr>
            </w:pPr>
            <w:r>
              <w:rPr>
                <w:rFonts w:hint="eastAsia" w:ascii="宋体" w:hAnsi="宋体"/>
                <w:kern w:val="0"/>
                <w:sz w:val="24"/>
              </w:rPr>
              <w:t>二级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457" w:type="dxa"/>
            <w:vAlign w:val="center"/>
          </w:tcPr>
          <w:p>
            <w:pPr>
              <w:spacing w:line="360" w:lineRule="auto"/>
              <w:jc w:val="center"/>
              <w:rPr>
                <w:rFonts w:ascii="宋体" w:hAnsi="宋体"/>
                <w:kern w:val="0"/>
                <w:sz w:val="24"/>
              </w:rPr>
            </w:pPr>
            <w:r>
              <w:rPr>
                <w:rFonts w:hint="eastAsia" w:ascii="宋体" w:hAnsi="宋体"/>
                <w:kern w:val="0"/>
                <w:sz w:val="24"/>
              </w:rPr>
              <w:t>4</w:t>
            </w:r>
          </w:p>
        </w:tc>
        <w:tc>
          <w:tcPr>
            <w:tcW w:w="3366" w:type="dxa"/>
            <w:vAlign w:val="center"/>
          </w:tcPr>
          <w:p>
            <w:pPr>
              <w:jc w:val="center"/>
            </w:pPr>
            <w:r>
              <w:rPr>
                <w:rFonts w:hint="eastAsia" w:ascii="宋体" w:hAnsi="宋体" w:cs="宋体"/>
                <w:kern w:val="0"/>
                <w:sz w:val="24"/>
              </w:rPr>
              <w:t>信息安全等级保护测评</w:t>
            </w:r>
          </w:p>
        </w:tc>
        <w:tc>
          <w:tcPr>
            <w:tcW w:w="2977" w:type="dxa"/>
            <w:vAlign w:val="center"/>
          </w:tcPr>
          <w:p>
            <w:pPr>
              <w:autoSpaceDE w:val="0"/>
              <w:autoSpaceDN w:val="0"/>
              <w:adjustRightInd w:val="0"/>
              <w:spacing w:line="360" w:lineRule="auto"/>
              <w:jc w:val="center"/>
              <w:rPr>
                <w:rFonts w:ascii="宋体" w:hAnsi="宋体"/>
                <w:kern w:val="0"/>
                <w:sz w:val="24"/>
              </w:rPr>
            </w:pPr>
            <w:r>
              <w:rPr>
                <w:rFonts w:hint="eastAsia" w:ascii="宋体" w:hAnsi="宋体"/>
                <w:sz w:val="24"/>
              </w:rPr>
              <w:t>智慧校园系统</w:t>
            </w:r>
          </w:p>
        </w:tc>
        <w:tc>
          <w:tcPr>
            <w:tcW w:w="2272" w:type="dxa"/>
            <w:vAlign w:val="center"/>
          </w:tcPr>
          <w:p>
            <w:pPr>
              <w:spacing w:line="360" w:lineRule="auto"/>
              <w:jc w:val="center"/>
              <w:rPr>
                <w:rFonts w:ascii="宋体" w:hAnsi="宋体"/>
                <w:kern w:val="0"/>
                <w:sz w:val="24"/>
              </w:rPr>
            </w:pPr>
            <w:r>
              <w:rPr>
                <w:rFonts w:hint="eastAsia" w:ascii="宋体" w:hAnsi="宋体"/>
                <w:kern w:val="0"/>
                <w:sz w:val="24"/>
              </w:rPr>
              <w:t>二级</w:t>
            </w:r>
          </w:p>
        </w:tc>
      </w:tr>
    </w:tbl>
    <w:p>
      <w:pPr>
        <w:spacing w:after="156" w:afterLines="50" w:line="360" w:lineRule="auto"/>
        <w:ind w:left="360"/>
        <w:outlineLvl w:val="1"/>
        <w:rPr>
          <w:rFonts w:hAnsi="宋体"/>
          <w:b/>
          <w:sz w:val="24"/>
        </w:rPr>
      </w:pPr>
      <w:bookmarkStart w:id="9" w:name="_Toc215567875"/>
      <w:bookmarkStart w:id="10" w:name="_Toc517076095"/>
    </w:p>
    <w:p>
      <w:pPr>
        <w:spacing w:after="156" w:afterLines="50" w:line="360" w:lineRule="auto"/>
        <w:outlineLvl w:val="1"/>
        <w:rPr>
          <w:rFonts w:hAnsi="宋体"/>
          <w:b/>
          <w:sz w:val="24"/>
        </w:rPr>
      </w:pPr>
      <w:r>
        <w:rPr>
          <w:rFonts w:hint="eastAsia" w:hAnsi="宋体"/>
          <w:b/>
          <w:sz w:val="24"/>
        </w:rPr>
        <w:t xml:space="preserve">1.4 </w:t>
      </w:r>
      <w:r>
        <w:rPr>
          <w:rFonts w:hAnsi="宋体"/>
          <w:b/>
          <w:sz w:val="24"/>
        </w:rPr>
        <w:t>招标范围</w:t>
      </w:r>
      <w:bookmarkEnd w:id="9"/>
      <w:bookmarkEnd w:id="10"/>
    </w:p>
    <w:p>
      <w:pPr>
        <w:spacing w:line="360" w:lineRule="auto"/>
        <w:ind w:firstLine="480" w:firstLineChars="200"/>
        <w:rPr>
          <w:rFonts w:hAnsi="宋体"/>
          <w:sz w:val="24"/>
        </w:rPr>
      </w:pPr>
      <w:r>
        <w:rPr>
          <w:rFonts w:hAnsi="宋体"/>
          <w:sz w:val="24"/>
        </w:rPr>
        <w:t>本项目招标范围包括对</w:t>
      </w:r>
      <w:r>
        <w:rPr>
          <w:rFonts w:hint="eastAsia" w:hAnsi="宋体"/>
          <w:sz w:val="24"/>
        </w:rPr>
        <w:t>上述 4 个</w:t>
      </w:r>
      <w:r>
        <w:rPr>
          <w:rFonts w:hAnsi="宋体"/>
          <w:sz w:val="24"/>
        </w:rPr>
        <w:t>信息系统</w:t>
      </w:r>
      <w:r>
        <w:rPr>
          <w:rFonts w:hint="eastAsia" w:hAnsi="宋体"/>
          <w:sz w:val="24"/>
        </w:rPr>
        <w:t>的</w:t>
      </w:r>
      <w:r>
        <w:rPr>
          <w:rFonts w:hAnsi="宋体"/>
          <w:sz w:val="24"/>
        </w:rPr>
        <w:t>等级保护测评服务、</w:t>
      </w:r>
      <w:r>
        <w:rPr>
          <w:rFonts w:hint="eastAsia" w:hAnsi="宋体"/>
          <w:sz w:val="24"/>
        </w:rPr>
        <w:t>整改建设咨询服务以及配合合肥市公安局监督检查及备案相关工作</w:t>
      </w:r>
      <w:r>
        <w:rPr>
          <w:rFonts w:hAnsi="宋体"/>
          <w:sz w:val="24"/>
        </w:rPr>
        <w:t>。</w:t>
      </w:r>
    </w:p>
    <w:p>
      <w:pPr>
        <w:spacing w:line="360" w:lineRule="auto"/>
        <w:ind w:firstLine="480" w:firstLineChars="200"/>
        <w:rPr>
          <w:rFonts w:hAnsi="宋体"/>
          <w:sz w:val="24"/>
        </w:rPr>
      </w:pPr>
    </w:p>
    <w:p>
      <w:pPr>
        <w:spacing w:after="156" w:afterLines="50" w:line="360" w:lineRule="auto"/>
        <w:outlineLvl w:val="1"/>
        <w:rPr>
          <w:rFonts w:hAnsi="宋体"/>
          <w:b/>
          <w:sz w:val="24"/>
        </w:rPr>
      </w:pPr>
      <w:r>
        <w:rPr>
          <w:rFonts w:hint="eastAsia" w:hAnsi="宋体"/>
          <w:b/>
          <w:sz w:val="24"/>
        </w:rPr>
        <w:t xml:space="preserve">1.5 </w:t>
      </w:r>
      <w:bookmarkStart w:id="11" w:name="_Toc517076096"/>
      <w:r>
        <w:rPr>
          <w:rFonts w:hAnsi="宋体"/>
          <w:b/>
          <w:sz w:val="24"/>
        </w:rPr>
        <w:t>投标人</w:t>
      </w:r>
      <w:r>
        <w:rPr>
          <w:rFonts w:hint="eastAsia" w:hAnsi="宋体"/>
          <w:b/>
          <w:sz w:val="24"/>
        </w:rPr>
        <w:t>具体工作内容：</w:t>
      </w:r>
      <w:bookmarkEnd w:id="11"/>
    </w:p>
    <w:p>
      <w:pPr>
        <w:pStyle w:val="13"/>
        <w:numPr>
          <w:ilvl w:val="0"/>
          <w:numId w:val="4"/>
        </w:numPr>
        <w:spacing w:line="360" w:lineRule="auto"/>
        <w:rPr>
          <w:rFonts w:hAnsi="宋体"/>
          <w:b/>
          <w:color w:val="000000"/>
          <w:sz w:val="24"/>
          <w:szCs w:val="24"/>
        </w:rPr>
      </w:pPr>
      <w:r>
        <w:rPr>
          <w:rFonts w:hint="eastAsia" w:hAnsi="宋体"/>
          <w:b/>
          <w:color w:val="000000"/>
          <w:sz w:val="24"/>
          <w:szCs w:val="24"/>
        </w:rPr>
        <w:t>等级保护测评内容具体要求：</w:t>
      </w:r>
    </w:p>
    <w:p>
      <w:pPr>
        <w:pStyle w:val="13"/>
        <w:spacing w:line="360" w:lineRule="auto"/>
        <w:ind w:firstLine="720" w:firstLineChars="300"/>
        <w:rPr>
          <w:rFonts w:hAnsi="宋体"/>
          <w:color w:val="000000"/>
          <w:sz w:val="24"/>
          <w:szCs w:val="24"/>
        </w:rPr>
      </w:pPr>
      <w:r>
        <w:rPr>
          <w:rFonts w:hint="eastAsia" w:hAnsi="宋体"/>
          <w:color w:val="000000"/>
          <w:sz w:val="24"/>
          <w:szCs w:val="24"/>
        </w:rPr>
        <w:t>依据国家等级保护相关标准《GB/T 22239 信息安全等级保护基本要求》，以《GB/T22240 信息安全等级保护定级指南》为基础，对各信息系统进行等级保护测评，内容包括：</w:t>
      </w:r>
    </w:p>
    <w:p>
      <w:pPr>
        <w:pStyle w:val="13"/>
        <w:spacing w:line="360" w:lineRule="auto"/>
        <w:ind w:firstLine="720" w:firstLineChars="300"/>
        <w:rPr>
          <w:rFonts w:hAnsi="宋体"/>
          <w:color w:val="000000"/>
          <w:sz w:val="24"/>
          <w:szCs w:val="24"/>
        </w:rPr>
      </w:pPr>
      <w:r>
        <w:rPr>
          <w:rFonts w:hint="eastAsia" w:hAnsi="宋体"/>
          <w:color w:val="000000"/>
          <w:sz w:val="24"/>
          <w:szCs w:val="24"/>
        </w:rPr>
        <w:t>1、安全技术测评：包括物理安全、网络安全、主机系统安全、应用安全和数据安全等五个方面的安全测评。</w:t>
      </w:r>
    </w:p>
    <w:p>
      <w:pPr>
        <w:pStyle w:val="13"/>
        <w:spacing w:line="360" w:lineRule="auto"/>
        <w:ind w:firstLine="720" w:firstLineChars="300"/>
        <w:rPr>
          <w:rFonts w:hAnsi="宋体"/>
          <w:color w:val="000000"/>
          <w:sz w:val="24"/>
          <w:szCs w:val="24"/>
        </w:rPr>
      </w:pPr>
      <w:r>
        <w:rPr>
          <w:rFonts w:hint="eastAsia" w:hAnsi="宋体"/>
          <w:color w:val="000000"/>
          <w:sz w:val="24"/>
          <w:szCs w:val="24"/>
        </w:rPr>
        <w:t>2、安全管理测评：包括安全管理机构、安全管理制度、人员安全管理、系统建设管理和系统运维管理等五个方面的安全测评。</w:t>
      </w:r>
    </w:p>
    <w:p>
      <w:pPr>
        <w:pStyle w:val="13"/>
        <w:spacing w:line="360" w:lineRule="auto"/>
        <w:ind w:firstLine="720" w:firstLineChars="300"/>
        <w:rPr>
          <w:rFonts w:hAnsi="宋体"/>
          <w:color w:val="000000"/>
          <w:sz w:val="24"/>
          <w:szCs w:val="24"/>
        </w:rPr>
      </w:pPr>
      <w:r>
        <w:rPr>
          <w:rFonts w:hint="eastAsia" w:hAnsi="宋体"/>
          <w:color w:val="000000"/>
          <w:sz w:val="24"/>
          <w:szCs w:val="24"/>
        </w:rPr>
        <w:t>3、形成差距分析报告：依据测评结果和《信息系统安全等级保护基本要求》（GB /T 22239-2008），要求从信息系统是否具备标准所要求的安全保护设施、安全设施的策略是否达到标准的要求、安全策略是否达到保护的效果三个方面开展差距测评工作。全面的从物理安全、网络安全、主机安全、应用安全、数据安全、安全管理中的所有指标逐项对信息系统中相关的资产进行检查。对各信息系统进行安全现状分析，形成相应的差距分析报告。</w:t>
      </w:r>
    </w:p>
    <w:p>
      <w:pPr>
        <w:pStyle w:val="13"/>
        <w:spacing w:line="360" w:lineRule="auto"/>
        <w:ind w:firstLine="720" w:firstLineChars="300"/>
        <w:rPr>
          <w:rFonts w:hAnsi="宋体"/>
          <w:color w:val="000000"/>
          <w:sz w:val="24"/>
          <w:szCs w:val="24"/>
        </w:rPr>
      </w:pPr>
      <w:r>
        <w:rPr>
          <w:rFonts w:hint="eastAsia" w:hAnsi="宋体"/>
          <w:color w:val="000000"/>
          <w:sz w:val="24"/>
          <w:szCs w:val="24"/>
        </w:rPr>
        <w:t>4、编制和完善安全管理制度：依据《信息系统安全等级保护基本要求》和《信息系统等级保护安全设计技术要求》，协助招标方制订和完善各项信息安全管理制度，规范信息安全日常管理工作，提高信息安全基础管理水平。</w:t>
      </w:r>
    </w:p>
    <w:p>
      <w:pPr>
        <w:pStyle w:val="13"/>
        <w:spacing w:line="360" w:lineRule="auto"/>
        <w:ind w:firstLine="480" w:firstLineChars="200"/>
        <w:rPr>
          <w:rFonts w:hAnsi="宋体"/>
          <w:color w:val="000000"/>
          <w:sz w:val="24"/>
          <w:szCs w:val="24"/>
        </w:rPr>
      </w:pPr>
      <w:r>
        <w:rPr>
          <w:rFonts w:hint="eastAsia" w:hAnsi="宋体"/>
          <w:color w:val="000000"/>
          <w:sz w:val="24"/>
          <w:szCs w:val="24"/>
        </w:rPr>
        <w:t>完成上述测评工作和实施整改后，最后出具符合公安机关要求的（年度）信息系统安全保护等级测评报告。</w:t>
      </w:r>
    </w:p>
    <w:p>
      <w:pPr>
        <w:pStyle w:val="13"/>
        <w:numPr>
          <w:ilvl w:val="0"/>
          <w:numId w:val="4"/>
        </w:numPr>
        <w:spacing w:line="360" w:lineRule="auto"/>
        <w:rPr>
          <w:rFonts w:hAnsi="宋体"/>
          <w:b/>
          <w:color w:val="000000"/>
          <w:sz w:val="24"/>
          <w:szCs w:val="24"/>
        </w:rPr>
      </w:pPr>
      <w:r>
        <w:rPr>
          <w:rFonts w:hint="eastAsia" w:hAnsi="宋体"/>
          <w:b/>
          <w:color w:val="000000"/>
          <w:sz w:val="24"/>
          <w:szCs w:val="24"/>
        </w:rPr>
        <w:t>信息安全培训具体要求：</w:t>
      </w:r>
    </w:p>
    <w:p>
      <w:pPr>
        <w:pStyle w:val="13"/>
        <w:spacing w:line="360" w:lineRule="auto"/>
        <w:ind w:firstLine="720" w:firstLineChars="300"/>
        <w:rPr>
          <w:rFonts w:hAnsi="宋体"/>
          <w:color w:val="000000"/>
          <w:sz w:val="24"/>
          <w:szCs w:val="24"/>
        </w:rPr>
      </w:pPr>
      <w:r>
        <w:rPr>
          <w:rFonts w:hint="eastAsia" w:hAnsi="宋体"/>
          <w:color w:val="000000"/>
          <w:sz w:val="24"/>
          <w:szCs w:val="24"/>
        </w:rPr>
        <w:t>投标人需要为采购方提供不少于线上、线下各2次的信息安全技术培训，确保管理人员和技术人员掌握关于信息系统等级保护相关规范、信息安全策略、信息保密制度，信息安全管理制度和相关流程等，全面提升信息化人才队伍的安全意识和专业技能水平。信息安全培训方式分为以下几种：</w:t>
      </w:r>
    </w:p>
    <w:p>
      <w:pPr>
        <w:pStyle w:val="13"/>
        <w:spacing w:line="360" w:lineRule="auto"/>
        <w:ind w:firstLine="0"/>
        <w:rPr>
          <w:rFonts w:hAnsi="宋体"/>
          <w:color w:val="000000"/>
          <w:sz w:val="24"/>
          <w:szCs w:val="24"/>
        </w:rPr>
      </w:pPr>
      <w:r>
        <w:rPr>
          <w:rFonts w:hint="eastAsia" w:hAnsi="宋体"/>
          <w:color w:val="000000"/>
          <w:sz w:val="24"/>
          <w:szCs w:val="24"/>
        </w:rPr>
        <w:t>1、线下培训</w:t>
      </w:r>
    </w:p>
    <w:p>
      <w:pPr>
        <w:pStyle w:val="13"/>
        <w:spacing w:line="360" w:lineRule="auto"/>
        <w:ind w:firstLine="720" w:firstLineChars="300"/>
        <w:rPr>
          <w:rFonts w:hAnsi="宋体"/>
          <w:color w:val="000000"/>
          <w:sz w:val="24"/>
          <w:szCs w:val="24"/>
        </w:rPr>
      </w:pPr>
      <w:r>
        <w:rPr>
          <w:rFonts w:hint="eastAsia" w:hAnsi="宋体"/>
          <w:color w:val="000000"/>
          <w:sz w:val="24"/>
          <w:szCs w:val="24"/>
        </w:rPr>
        <w:t>线下培训，即为集中授课培训。由中标方安排资深信息安全人员，对我方人员讲解信息安全相关规范、流程、技术等方面的知识。</w:t>
      </w:r>
    </w:p>
    <w:p>
      <w:pPr>
        <w:pStyle w:val="13"/>
        <w:spacing w:line="360" w:lineRule="auto"/>
        <w:ind w:firstLine="0"/>
        <w:rPr>
          <w:rFonts w:hAnsi="宋体"/>
          <w:color w:val="000000"/>
          <w:sz w:val="24"/>
          <w:szCs w:val="24"/>
        </w:rPr>
      </w:pPr>
      <w:r>
        <w:rPr>
          <w:rFonts w:hint="eastAsia" w:hAnsi="宋体"/>
          <w:color w:val="000000"/>
          <w:sz w:val="24"/>
          <w:szCs w:val="24"/>
        </w:rPr>
        <w:t>2、线上培训</w:t>
      </w:r>
    </w:p>
    <w:p>
      <w:pPr>
        <w:pStyle w:val="13"/>
        <w:spacing w:line="360" w:lineRule="auto"/>
        <w:ind w:firstLine="720" w:firstLineChars="300"/>
        <w:rPr>
          <w:rFonts w:hAnsi="宋体"/>
          <w:color w:val="000000"/>
          <w:sz w:val="24"/>
          <w:szCs w:val="24"/>
        </w:rPr>
      </w:pPr>
      <w:r>
        <w:rPr>
          <w:rFonts w:hint="eastAsia" w:hAnsi="宋体"/>
          <w:color w:val="000000"/>
          <w:sz w:val="24"/>
          <w:szCs w:val="24"/>
        </w:rPr>
        <w:t>通过在QQ及时通讯工具，对使用人员进行培训。可以采用远程方式，演示系统操作步骤。</w:t>
      </w:r>
    </w:p>
    <w:p>
      <w:pPr>
        <w:pStyle w:val="13"/>
        <w:spacing w:line="360" w:lineRule="auto"/>
        <w:ind w:firstLine="0"/>
        <w:rPr>
          <w:rFonts w:hAnsi="宋体"/>
          <w:color w:val="000000"/>
          <w:sz w:val="24"/>
          <w:szCs w:val="24"/>
        </w:rPr>
      </w:pPr>
      <w:r>
        <w:rPr>
          <w:rFonts w:hint="eastAsia" w:hAnsi="宋体"/>
          <w:color w:val="000000"/>
          <w:sz w:val="24"/>
          <w:szCs w:val="24"/>
        </w:rPr>
        <w:t>3、即时通讯方式培训</w:t>
      </w:r>
    </w:p>
    <w:p>
      <w:pPr>
        <w:pStyle w:val="13"/>
        <w:spacing w:line="360" w:lineRule="auto"/>
        <w:ind w:firstLine="720" w:firstLineChars="300"/>
        <w:rPr>
          <w:rFonts w:hAnsi="宋体"/>
          <w:color w:val="000000"/>
          <w:sz w:val="24"/>
          <w:szCs w:val="24"/>
        </w:rPr>
      </w:pPr>
      <w:r>
        <w:rPr>
          <w:rFonts w:hint="eastAsia" w:hAnsi="宋体"/>
          <w:color w:val="000000"/>
          <w:sz w:val="24"/>
          <w:szCs w:val="24"/>
        </w:rPr>
        <w:t>对于一些情况较为紧急的使用问题，使用电话方式、微信或其他即时通讯，对使用人员进行系统讲解。</w:t>
      </w:r>
    </w:p>
    <w:p>
      <w:pPr>
        <w:pStyle w:val="13"/>
        <w:spacing w:line="360" w:lineRule="auto"/>
        <w:ind w:firstLine="0"/>
        <w:rPr>
          <w:rFonts w:hAnsi="宋体"/>
          <w:color w:val="000000"/>
          <w:sz w:val="24"/>
          <w:szCs w:val="24"/>
        </w:rPr>
      </w:pPr>
      <w:r>
        <w:rPr>
          <w:rFonts w:hint="eastAsia" w:hAnsi="宋体"/>
          <w:color w:val="000000"/>
          <w:sz w:val="24"/>
          <w:szCs w:val="24"/>
        </w:rPr>
        <w:t>4、培训资料</w:t>
      </w:r>
    </w:p>
    <w:p>
      <w:pPr>
        <w:pStyle w:val="13"/>
        <w:spacing w:line="360" w:lineRule="auto"/>
        <w:ind w:firstLine="480" w:firstLineChars="200"/>
        <w:rPr>
          <w:rFonts w:hAnsi="宋体"/>
          <w:color w:val="000000"/>
          <w:sz w:val="24"/>
          <w:szCs w:val="24"/>
        </w:rPr>
      </w:pPr>
      <w:r>
        <w:rPr>
          <w:rFonts w:hint="eastAsia" w:hAnsi="宋体"/>
          <w:color w:val="000000"/>
          <w:sz w:val="24"/>
          <w:szCs w:val="24"/>
        </w:rPr>
        <w:t xml:space="preserve">提供培训课件相关资料。          </w:t>
      </w:r>
    </w:p>
    <w:p>
      <w:pPr>
        <w:pStyle w:val="13"/>
        <w:spacing w:line="360" w:lineRule="auto"/>
        <w:ind w:firstLine="640" w:firstLineChars="200"/>
        <w:rPr>
          <w:rFonts w:hAnsi="宋体"/>
          <w:b/>
          <w:sz w:val="24"/>
        </w:rPr>
      </w:pPr>
      <w:r>
        <w:rPr>
          <w:rFonts w:hint="eastAsia" w:ascii="仿宋" w:hAnsi="仿宋" w:eastAsia="仿宋" w:cs="仿宋"/>
          <w:sz w:val="32"/>
          <w:szCs w:val="32"/>
        </w:rPr>
        <w:t xml:space="preserve"> </w:t>
      </w:r>
    </w:p>
    <w:p>
      <w:pPr>
        <w:spacing w:after="156" w:afterLines="50" w:line="360" w:lineRule="auto"/>
        <w:outlineLvl w:val="1"/>
        <w:rPr>
          <w:rFonts w:hAnsi="宋体"/>
          <w:b/>
          <w:sz w:val="24"/>
        </w:rPr>
      </w:pPr>
      <w:bookmarkStart w:id="12" w:name="_Toc517076097"/>
      <w:bookmarkStart w:id="13" w:name="_Toc215567878"/>
      <w:r>
        <w:rPr>
          <w:rFonts w:hint="eastAsia" w:hAnsi="宋体"/>
          <w:b/>
          <w:sz w:val="24"/>
        </w:rPr>
        <w:t>1.6服务承诺：</w:t>
      </w:r>
      <w:bookmarkEnd w:id="12"/>
    </w:p>
    <w:p>
      <w:pPr>
        <w:spacing w:after="156" w:afterLines="50" w:line="360" w:lineRule="auto"/>
        <w:outlineLvl w:val="1"/>
        <w:rPr>
          <w:rFonts w:hAnsi="宋体"/>
          <w:color w:val="000000"/>
          <w:sz w:val="24"/>
        </w:rPr>
      </w:pPr>
      <w:r>
        <w:rPr>
          <w:rFonts w:hint="eastAsia" w:hAnsi="宋体"/>
          <w:color w:val="000000"/>
          <w:sz w:val="24"/>
        </w:rPr>
        <w:t>1.6.1   协助安徽职业技术学院在公安局网安支队完成定级备案工作，并取得相应的备案证书。</w:t>
      </w:r>
    </w:p>
    <w:p>
      <w:pPr>
        <w:pStyle w:val="13"/>
        <w:numPr>
          <w:ilvl w:val="0"/>
          <w:numId w:val="3"/>
        </w:numPr>
        <w:spacing w:line="360" w:lineRule="auto"/>
        <w:rPr>
          <w:rFonts w:hAnsi="宋体"/>
          <w:color w:val="000000"/>
          <w:sz w:val="24"/>
          <w:szCs w:val="24"/>
        </w:rPr>
      </w:pPr>
      <w:r>
        <w:rPr>
          <w:rFonts w:hint="eastAsia" w:hAnsi="宋体"/>
          <w:color w:val="000000"/>
          <w:sz w:val="24"/>
          <w:szCs w:val="24"/>
        </w:rPr>
        <w:t>整改咨询计划：根据等级保护测评中的问题，分析与等级保护基本要求之间的差距，按照信息安全等级保护制度要求提出安全整改报告。并协助用户完成信息系统整改计划，整改建议科学、合理，并承诺及时跟进协助整改。</w:t>
      </w:r>
    </w:p>
    <w:p>
      <w:pPr>
        <w:pStyle w:val="36"/>
        <w:numPr>
          <w:ilvl w:val="0"/>
          <w:numId w:val="3"/>
        </w:numPr>
        <w:spacing w:after="156" w:afterLines="50" w:line="360" w:lineRule="auto"/>
        <w:ind w:firstLineChars="0"/>
        <w:outlineLvl w:val="1"/>
        <w:rPr>
          <w:rFonts w:hAnsi="宋体"/>
          <w:color w:val="000000"/>
          <w:sz w:val="24"/>
        </w:rPr>
      </w:pPr>
      <w:r>
        <w:rPr>
          <w:rFonts w:hint="eastAsia" w:hAnsi="宋体"/>
          <w:color w:val="000000"/>
          <w:sz w:val="24"/>
          <w:szCs w:val="24"/>
        </w:rPr>
        <w:t>渗透服务：渗透人员在不同的位置（比如从内网、从外网等位置）利用各种手段对某个特定网络进行测试，以期发现和挖掘系统中存在的漏洞，然后输出渗透测试报告，并提交给网络所有者。网络所有者根据渗透人员提供的渗透测试报告，可以清晰知晓系统中存在的安全隐患和问题。</w:t>
      </w:r>
    </w:p>
    <w:p>
      <w:pPr>
        <w:pStyle w:val="13"/>
        <w:numPr>
          <w:ilvl w:val="0"/>
          <w:numId w:val="3"/>
        </w:numPr>
        <w:spacing w:line="360" w:lineRule="auto"/>
        <w:rPr>
          <w:rFonts w:hAnsi="宋体"/>
          <w:color w:val="000000"/>
          <w:sz w:val="24"/>
          <w:szCs w:val="24"/>
        </w:rPr>
      </w:pPr>
      <w:r>
        <w:rPr>
          <w:rFonts w:hint="eastAsia" w:hAnsi="宋体"/>
          <w:color w:val="000000"/>
          <w:sz w:val="24"/>
          <w:szCs w:val="24"/>
        </w:rPr>
        <w:t>投标人需要具备及时响应能力，签订后根据招标人安排的日期时间进场测评，出具整改报告协助完成系统建设整改及完成整体项目。同时如发生故障，在得到用户通知后，4小时内响应，12小时以内到现场处理，24小时内修复的售后响应能力。</w:t>
      </w:r>
    </w:p>
    <w:p>
      <w:pPr>
        <w:pStyle w:val="36"/>
        <w:numPr>
          <w:ilvl w:val="0"/>
          <w:numId w:val="3"/>
        </w:numPr>
        <w:spacing w:after="156" w:afterLines="50" w:line="360" w:lineRule="auto"/>
        <w:ind w:firstLineChars="0"/>
        <w:outlineLvl w:val="1"/>
        <w:rPr>
          <w:rFonts w:hAnsi="宋体"/>
          <w:color w:val="000000"/>
          <w:sz w:val="24"/>
        </w:rPr>
      </w:pPr>
      <w:r>
        <w:rPr>
          <w:rFonts w:hint="eastAsia" w:hAnsi="宋体"/>
          <w:color w:val="000000"/>
          <w:sz w:val="24"/>
          <w:szCs w:val="24"/>
        </w:rPr>
        <w:t>投标人技术能力要求：投标人应具有针对本项目要求的技术手段。</w:t>
      </w:r>
    </w:p>
    <w:p>
      <w:pPr>
        <w:pStyle w:val="36"/>
        <w:numPr>
          <w:ilvl w:val="0"/>
          <w:numId w:val="3"/>
        </w:numPr>
        <w:spacing w:after="156" w:afterLines="50" w:line="360" w:lineRule="auto"/>
        <w:ind w:firstLineChars="0"/>
        <w:outlineLvl w:val="1"/>
        <w:rPr>
          <w:rFonts w:hAnsi="宋体"/>
          <w:color w:val="000000"/>
          <w:sz w:val="24"/>
        </w:rPr>
      </w:pPr>
      <w:r>
        <w:rPr>
          <w:rFonts w:hint="eastAsia" w:hAnsi="宋体"/>
          <w:color w:val="000000"/>
          <w:sz w:val="24"/>
          <w:szCs w:val="24"/>
        </w:rPr>
        <w:t>投标人必须承诺对从招标活动中获得的招标人相关资料承担保密责任。</w:t>
      </w:r>
    </w:p>
    <w:p>
      <w:pPr>
        <w:pStyle w:val="36"/>
        <w:numPr>
          <w:ilvl w:val="0"/>
          <w:numId w:val="3"/>
        </w:numPr>
        <w:spacing w:after="156" w:afterLines="50" w:line="360" w:lineRule="auto"/>
        <w:ind w:firstLineChars="0"/>
        <w:outlineLvl w:val="1"/>
        <w:rPr>
          <w:sz w:val="24"/>
        </w:rPr>
      </w:pPr>
      <w:r>
        <w:rPr>
          <w:rFonts w:hint="eastAsia" w:hAnsi="宋体"/>
          <w:color w:val="000000"/>
          <w:sz w:val="24"/>
          <w:szCs w:val="24"/>
        </w:rPr>
        <w:t>投标人须承诺线上培训及线下培训各不少于最低要求的2次。</w:t>
      </w:r>
      <w:bookmarkStart w:id="14" w:name="_Toc517076107"/>
      <w:bookmarkStart w:id="15" w:name="_Toc215567906"/>
    </w:p>
    <w:p>
      <w:pPr>
        <w:spacing w:after="156" w:afterLines="50" w:line="360" w:lineRule="auto"/>
        <w:outlineLvl w:val="1"/>
        <w:rPr>
          <w:b/>
          <w:sz w:val="24"/>
        </w:rPr>
      </w:pPr>
    </w:p>
    <w:p>
      <w:pPr>
        <w:spacing w:after="156" w:afterLines="50" w:line="360" w:lineRule="auto"/>
        <w:outlineLvl w:val="1"/>
        <w:rPr>
          <w:b/>
          <w:sz w:val="24"/>
        </w:rPr>
      </w:pPr>
    </w:p>
    <w:p>
      <w:pPr>
        <w:spacing w:after="156" w:afterLines="50" w:line="360" w:lineRule="auto"/>
        <w:outlineLvl w:val="1"/>
        <w:rPr>
          <w:b/>
          <w:sz w:val="24"/>
        </w:rPr>
      </w:pPr>
    </w:p>
    <w:p>
      <w:pPr>
        <w:spacing w:after="156" w:afterLines="50" w:line="360" w:lineRule="auto"/>
        <w:outlineLvl w:val="1"/>
        <w:rPr>
          <w:b/>
          <w:sz w:val="24"/>
        </w:rPr>
      </w:pPr>
    </w:p>
    <w:p>
      <w:pPr>
        <w:spacing w:after="156" w:afterLines="50" w:line="360" w:lineRule="auto"/>
        <w:outlineLvl w:val="1"/>
        <w:rPr>
          <w:b/>
          <w:sz w:val="24"/>
        </w:rPr>
      </w:pPr>
    </w:p>
    <w:p>
      <w:pPr>
        <w:spacing w:after="156" w:afterLines="50" w:line="360" w:lineRule="auto"/>
        <w:outlineLvl w:val="1"/>
        <w:rPr>
          <w:b/>
          <w:sz w:val="24"/>
        </w:rPr>
      </w:pPr>
    </w:p>
    <w:p>
      <w:pPr>
        <w:spacing w:after="156" w:afterLines="50" w:line="360" w:lineRule="auto"/>
        <w:outlineLvl w:val="1"/>
        <w:rPr>
          <w:b/>
          <w:sz w:val="24"/>
        </w:rPr>
      </w:pPr>
    </w:p>
    <w:p>
      <w:pPr>
        <w:spacing w:after="156" w:afterLines="50" w:line="360" w:lineRule="auto"/>
        <w:outlineLvl w:val="1"/>
        <w:rPr>
          <w:b/>
          <w:sz w:val="24"/>
        </w:rPr>
      </w:pPr>
    </w:p>
    <w:p>
      <w:pPr>
        <w:spacing w:after="156" w:afterLines="50" w:line="360" w:lineRule="auto"/>
        <w:outlineLvl w:val="1"/>
        <w:rPr>
          <w:b/>
          <w:sz w:val="24"/>
        </w:rPr>
      </w:pPr>
    </w:p>
    <w:p>
      <w:pPr>
        <w:spacing w:after="156" w:afterLines="50" w:line="360" w:lineRule="auto"/>
        <w:outlineLvl w:val="1"/>
        <w:rPr>
          <w:b/>
          <w:sz w:val="24"/>
        </w:rPr>
      </w:pPr>
      <w:r>
        <w:rPr>
          <w:rFonts w:hint="eastAsia"/>
          <w:b/>
          <w:sz w:val="24"/>
        </w:rPr>
        <w:t>1.7评审标准（综合评标）</w:t>
      </w:r>
      <w:bookmarkEnd w:id="14"/>
    </w:p>
    <w:p>
      <w:pPr>
        <w:pStyle w:val="36"/>
        <w:adjustRightInd w:val="0"/>
        <w:snapToGrid w:val="0"/>
        <w:spacing w:line="360" w:lineRule="auto"/>
        <w:ind w:firstLine="480"/>
        <w:rPr>
          <w:rFonts w:hAnsi="宋体"/>
          <w:sz w:val="24"/>
        </w:rPr>
      </w:pPr>
      <w:r>
        <w:rPr>
          <w:rFonts w:hint="eastAsia" w:hAnsi="宋体"/>
          <w:sz w:val="24"/>
        </w:rPr>
        <w:t>本项目技术部分分值占总分值的权重为40%，资信部分分值占总分值的权重为 30%，价格部分分值占总分值的权重为 30%，满分100分。</w:t>
      </w:r>
      <w:r>
        <w:rPr>
          <w:rFonts w:hint="eastAsia" w:hAnsi="宋体"/>
          <w:b/>
          <w:color w:val="000000"/>
          <w:sz w:val="24"/>
        </w:rPr>
        <w:t xml:space="preserve"> </w:t>
      </w:r>
    </w:p>
    <w:bookmarkEnd w:id="15"/>
    <w:tbl>
      <w:tblPr>
        <w:tblStyle w:val="31"/>
        <w:tblW w:w="935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1693"/>
        <w:gridCol w:w="528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79" w:hRule="atLeast"/>
          <w:tblHeader/>
          <w:jc w:val="center"/>
        </w:trPr>
        <w:tc>
          <w:tcPr>
            <w:tcW w:w="1247" w:type="dxa"/>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pPr>
              <w:jc w:val="center"/>
              <w:rPr>
                <w:rFonts w:ascii="宋体" w:hAnsi="宋体"/>
                <w:b/>
                <w:bCs/>
                <w:sz w:val="24"/>
              </w:rPr>
            </w:pPr>
            <w:bookmarkStart w:id="16" w:name="_Toc517076098"/>
            <w:r>
              <w:rPr>
                <w:rFonts w:hint="eastAsia" w:ascii="宋体" w:hAnsi="宋体"/>
                <w:b/>
                <w:bCs/>
                <w:sz w:val="24"/>
              </w:rPr>
              <w:t>项目名称</w:t>
            </w:r>
          </w:p>
        </w:tc>
        <w:tc>
          <w:tcPr>
            <w:tcW w:w="1693" w:type="dxa"/>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pPr>
              <w:jc w:val="center"/>
              <w:rPr>
                <w:rFonts w:ascii="宋体" w:hAnsi="宋体"/>
                <w:b/>
                <w:sz w:val="24"/>
              </w:rPr>
            </w:pPr>
            <w:r>
              <w:rPr>
                <w:rFonts w:hint="eastAsia" w:ascii="宋体" w:hAnsi="宋体"/>
                <w:b/>
                <w:sz w:val="24"/>
              </w:rPr>
              <w:t>评标内容</w:t>
            </w:r>
          </w:p>
        </w:tc>
        <w:tc>
          <w:tcPr>
            <w:tcW w:w="5285" w:type="dxa"/>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pPr>
              <w:jc w:val="center"/>
              <w:rPr>
                <w:rFonts w:ascii="宋体" w:hAnsi="宋体"/>
                <w:b/>
                <w:sz w:val="24"/>
              </w:rPr>
            </w:pPr>
            <w:r>
              <w:rPr>
                <w:rFonts w:hint="eastAsia" w:ascii="宋体" w:hAnsi="宋体"/>
                <w:b/>
                <w:sz w:val="24"/>
              </w:rPr>
              <w:t>评分标准</w:t>
            </w:r>
          </w:p>
        </w:tc>
        <w:tc>
          <w:tcPr>
            <w:tcW w:w="1134" w:type="dxa"/>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pPr>
              <w:jc w:val="center"/>
              <w:rPr>
                <w:rFonts w:ascii="宋体" w:hAnsi="宋体"/>
                <w:b/>
                <w:sz w:val="24"/>
              </w:rPr>
            </w:pPr>
            <w:r>
              <w:rPr>
                <w:rFonts w:hint="eastAsia" w:ascii="宋体" w:hAnsi="宋体"/>
                <w:b/>
                <w:sz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79" w:hRule="atLeast"/>
          <w:jc w:val="center"/>
        </w:trPr>
        <w:tc>
          <w:tcPr>
            <w:tcW w:w="124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b/>
                <w:bCs/>
                <w:sz w:val="24"/>
              </w:rPr>
            </w:pPr>
            <w:r>
              <w:rPr>
                <w:rFonts w:hint="eastAsia" w:ascii="宋体" w:hAnsi="宋体"/>
                <w:b/>
                <w:bCs/>
                <w:sz w:val="24"/>
              </w:rPr>
              <w:t>价格部分</w:t>
            </w:r>
          </w:p>
          <w:p>
            <w:pPr>
              <w:jc w:val="center"/>
              <w:rPr>
                <w:rFonts w:ascii="宋体" w:hAnsi="宋体"/>
                <w:b/>
                <w:bCs/>
                <w:sz w:val="24"/>
              </w:rPr>
            </w:pPr>
            <w:r>
              <w:rPr>
                <w:rFonts w:hint="eastAsia" w:ascii="宋体" w:hAnsi="宋体"/>
                <w:b/>
                <w:bCs/>
                <w:sz w:val="24"/>
              </w:rPr>
              <w:t>（30分）</w:t>
            </w:r>
          </w:p>
        </w:tc>
        <w:tc>
          <w:tcPr>
            <w:tcW w:w="169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b/>
                <w:sz w:val="24"/>
              </w:rPr>
            </w:pPr>
            <w:r>
              <w:rPr>
                <w:rFonts w:hint="eastAsia" w:ascii="宋体" w:hAnsi="宋体"/>
                <w:b/>
                <w:sz w:val="24"/>
              </w:rPr>
              <w:t>投标价格</w:t>
            </w:r>
          </w:p>
        </w:tc>
        <w:tc>
          <w:tcPr>
            <w:tcW w:w="528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价格分统一采用低价优先法，即满足招标文件要求且投标价格最低的投标报价为评标基准价，其价格分为满分 30分。其他投标供应商的价格分统一按照下列</w:t>
            </w:r>
          </w:p>
          <w:p>
            <w:pP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 xml:space="preserve">公式计算： </w:t>
            </w:r>
          </w:p>
          <w:p>
            <w:pPr>
              <w:rPr>
                <w:rFonts w:ascii="宋体" w:hAnsi="宋体"/>
                <w:b/>
                <w:sz w:val="24"/>
              </w:rPr>
            </w:pPr>
            <w:r>
              <w:rPr>
                <w:rFonts w:hint="eastAsia" w:ascii="宋体" w:hAnsi="宋体" w:cs="宋体"/>
                <w:color w:val="000000" w:themeColor="text1"/>
                <w:kern w:val="0"/>
                <w:sz w:val="22"/>
                <w:szCs w:val="22"/>
                <w:lang w:bidi="ar"/>
                <w14:textFill>
                  <w14:solidFill>
                    <w14:schemeClr w14:val="tx1"/>
                  </w14:solidFill>
                </w14:textFill>
              </w:rPr>
              <w:t>投标报价得分＝（评标基准价/投标报价）×30％×100</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20" w:hRule="atLeast"/>
          <w:jc w:val="center"/>
        </w:trPr>
        <w:tc>
          <w:tcPr>
            <w:tcW w:w="1247" w:type="dxa"/>
            <w:vMerge w:val="restart"/>
            <w:tcBorders>
              <w:top w:val="single" w:color="auto" w:sz="4" w:space="0"/>
              <w:left w:val="single" w:color="auto" w:sz="4" w:space="0"/>
              <w:right w:val="single" w:color="auto" w:sz="4" w:space="0"/>
            </w:tcBorders>
            <w:vAlign w:val="center"/>
          </w:tcPr>
          <w:p>
            <w:pPr>
              <w:adjustRightInd w:val="0"/>
              <w:snapToGrid w:val="0"/>
              <w:jc w:val="center"/>
              <w:rPr>
                <w:rFonts w:ascii="宋体" w:hAnsi="宋体"/>
                <w:b/>
                <w:sz w:val="24"/>
              </w:rPr>
            </w:pPr>
            <w:r>
              <w:rPr>
                <w:rFonts w:hint="eastAsia" w:ascii="宋体" w:hAnsi="宋体"/>
                <w:b/>
                <w:sz w:val="24"/>
              </w:rPr>
              <w:t>资信部分</w:t>
            </w:r>
          </w:p>
          <w:p>
            <w:pPr>
              <w:adjustRightInd w:val="0"/>
              <w:snapToGrid w:val="0"/>
              <w:jc w:val="center"/>
              <w:rPr>
                <w:rFonts w:ascii="宋体" w:hAnsi="宋体"/>
                <w:b/>
                <w:sz w:val="24"/>
              </w:rPr>
            </w:pPr>
            <w:r>
              <w:rPr>
                <w:rFonts w:hint="eastAsia" w:ascii="宋体" w:hAnsi="宋体"/>
                <w:b/>
                <w:sz w:val="24"/>
              </w:rPr>
              <w:t>（30分）</w:t>
            </w:r>
          </w:p>
        </w:tc>
        <w:tc>
          <w:tcPr>
            <w:tcW w:w="16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 w:val="24"/>
              </w:rPr>
            </w:pPr>
            <w:r>
              <w:rPr>
                <w:rFonts w:hint="eastAsia" w:ascii="宋体" w:hAnsi="宋体"/>
                <w:b/>
                <w:sz w:val="24"/>
              </w:rPr>
              <w:t>供应商资质</w:t>
            </w:r>
          </w:p>
        </w:tc>
        <w:tc>
          <w:tcPr>
            <w:tcW w:w="5285" w:type="dxa"/>
            <w:tcBorders>
              <w:top w:val="single" w:color="auto" w:sz="4" w:space="0"/>
              <w:left w:val="single" w:color="auto" w:sz="4" w:space="0"/>
              <w:bottom w:val="single" w:color="auto" w:sz="4" w:space="0"/>
              <w:right w:val="single" w:color="auto" w:sz="4" w:space="0"/>
            </w:tcBorders>
          </w:tcPr>
          <w:p>
            <w:pP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1、为提供更好的服务，</w:t>
            </w:r>
            <w:r>
              <w:rPr>
                <w:rFonts w:ascii="宋体" w:hAnsi="宋体"/>
                <w:sz w:val="24"/>
              </w:rPr>
              <w:t>投标人</w:t>
            </w:r>
            <w:r>
              <w:rPr>
                <w:rFonts w:hint="eastAsia" w:ascii="宋体" w:hAnsi="宋体" w:cs="宋体"/>
                <w:color w:val="000000" w:themeColor="text1"/>
                <w:kern w:val="0"/>
                <w:sz w:val="22"/>
                <w:szCs w:val="22"/>
                <w:lang w:bidi="ar"/>
                <w14:textFill>
                  <w14:solidFill>
                    <w14:schemeClr w14:val="tx1"/>
                  </w14:solidFill>
                </w14:textFill>
              </w:rPr>
              <w:t>须是安徽省本地注册的测评机构或在安徽省内依法成立的分公司，并具备省级信息安全等级保护工作协调小组办公室推荐证书（提供测评机构注册营业执照及测评推荐证书扫描件，携带原件至开标现场备查）。（2分）</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2、信息安全等级保护测评机构能力评估合格报告结论页扫描件并加盖供应商公章。（1分）</w:t>
            </w:r>
            <w:r>
              <w:rPr>
                <w:rFonts w:hint="eastAsia" w:ascii="宋体" w:hAnsi="宋体" w:cs="宋体"/>
                <w:color w:val="000000" w:themeColor="text1"/>
                <w:kern w:val="0"/>
                <w:sz w:val="22"/>
                <w:szCs w:val="22"/>
                <w:lang w:bidi="ar"/>
                <w14:textFill>
                  <w14:solidFill>
                    <w14:schemeClr w14:val="tx1"/>
                  </w14:solidFill>
                </w14:textFill>
              </w:rPr>
              <w:br w:type="textWrapping"/>
            </w:r>
            <w:r>
              <w:rPr>
                <w:rFonts w:hint="eastAsia" w:ascii="宋体" w:hAnsi="宋体" w:cs="宋体"/>
                <w:color w:val="000000" w:themeColor="text1"/>
                <w:kern w:val="0"/>
                <w:sz w:val="22"/>
                <w:szCs w:val="22"/>
                <w:lang w:bidi="ar"/>
                <w14:textFill>
                  <w14:solidFill>
                    <w14:schemeClr w14:val="tx1"/>
                  </w14:solidFill>
                </w14:textFill>
              </w:rPr>
              <w:t>3、</w:t>
            </w:r>
            <w:r>
              <w:rPr>
                <w:rFonts w:ascii="宋体" w:hAnsi="宋体"/>
                <w:sz w:val="24"/>
              </w:rPr>
              <w:t>投标人</w:t>
            </w:r>
            <w:r>
              <w:rPr>
                <w:rFonts w:hint="eastAsia" w:ascii="宋体" w:hAnsi="宋体" w:cs="宋体"/>
                <w:color w:val="000000" w:themeColor="text1"/>
                <w:kern w:val="0"/>
                <w:sz w:val="22"/>
                <w:szCs w:val="22"/>
                <w:lang w:bidi="ar"/>
                <w14:textFill>
                  <w14:solidFill>
                    <w14:schemeClr w14:val="tx1"/>
                  </w14:solidFill>
                </w14:textFill>
              </w:rPr>
              <w:t>具备完善的等保测评项目质量管理措施，通过GB/T 19001-2016质量管理体系认证，且体系适用于IT相关的管理咨询服务（4分）；</w:t>
            </w:r>
          </w:p>
          <w:p>
            <w:pP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4、</w:t>
            </w:r>
            <w:r>
              <w:rPr>
                <w:rFonts w:ascii="宋体" w:hAnsi="宋体"/>
                <w:sz w:val="24"/>
              </w:rPr>
              <w:t>投标人</w:t>
            </w:r>
            <w:r>
              <w:rPr>
                <w:rFonts w:hint="eastAsia" w:ascii="宋体" w:hAnsi="宋体" w:cs="宋体"/>
                <w:color w:val="000000" w:themeColor="text1"/>
                <w:kern w:val="0"/>
                <w:sz w:val="22"/>
                <w:szCs w:val="22"/>
                <w:lang w:bidi="ar"/>
                <w14:textFill>
                  <w14:solidFill>
                    <w14:schemeClr w14:val="tx1"/>
                  </w14:solidFill>
                </w14:textFill>
              </w:rPr>
              <w:t>具备完善的等保测评项目信息安全管理保障措施，通过GB/T 22080-2016信息安全管理体系认证，且体系覆盖业务范围包括等级保护测评（4分）；</w:t>
            </w:r>
          </w:p>
          <w:p>
            <w:pP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5、</w:t>
            </w:r>
            <w:r>
              <w:rPr>
                <w:rFonts w:ascii="宋体" w:hAnsi="宋体"/>
                <w:sz w:val="24"/>
              </w:rPr>
              <w:t>投标人</w:t>
            </w:r>
            <w:r>
              <w:rPr>
                <w:rFonts w:hint="eastAsia" w:ascii="宋体" w:hAnsi="宋体" w:cs="宋体"/>
                <w:color w:val="000000" w:themeColor="text1"/>
                <w:kern w:val="0"/>
                <w:sz w:val="22"/>
                <w:szCs w:val="22"/>
                <w:lang w:bidi="ar"/>
                <w14:textFill>
                  <w14:solidFill>
                    <w14:schemeClr w14:val="tx1"/>
                  </w14:solidFill>
                </w14:textFill>
              </w:rPr>
              <w:t>具备完善的等保测评项目信息技术服务管理流程体系，通过ISO20000信息技术服务管理体系认证，且体系覆盖业务范围包括等级保护测评（4分）。</w:t>
            </w:r>
          </w:p>
          <w:p>
            <w:pP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以上资质需提供有效的证书扫描件，携带原件至开标现场备查。</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7" w:hRule="atLeast"/>
          <w:jc w:val="center"/>
        </w:trPr>
        <w:tc>
          <w:tcPr>
            <w:tcW w:w="1247" w:type="dxa"/>
            <w:vMerge w:val="continue"/>
            <w:tcBorders>
              <w:left w:val="single" w:color="auto" w:sz="4" w:space="0"/>
              <w:right w:val="single" w:color="auto" w:sz="4" w:space="0"/>
            </w:tcBorders>
            <w:vAlign w:val="center"/>
          </w:tcPr>
          <w:p>
            <w:pPr>
              <w:adjustRightInd w:val="0"/>
              <w:snapToGrid w:val="0"/>
              <w:jc w:val="center"/>
              <w:rPr>
                <w:rFonts w:ascii="宋体" w:hAnsi="宋体"/>
                <w:b/>
                <w:sz w:val="24"/>
              </w:rPr>
            </w:pPr>
          </w:p>
        </w:tc>
        <w:tc>
          <w:tcPr>
            <w:tcW w:w="16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 w:val="24"/>
              </w:rPr>
            </w:pPr>
            <w:r>
              <w:rPr>
                <w:rFonts w:hint="eastAsia" w:ascii="宋体" w:hAnsi="宋体"/>
                <w:b/>
                <w:sz w:val="24"/>
              </w:rPr>
              <w:t>项目人员配备情况</w:t>
            </w:r>
          </w:p>
        </w:tc>
        <w:tc>
          <w:tcPr>
            <w:tcW w:w="5285" w:type="dxa"/>
            <w:tcBorders>
              <w:top w:val="single" w:color="auto" w:sz="4" w:space="0"/>
              <w:left w:val="single" w:color="auto" w:sz="4" w:space="0"/>
              <w:bottom w:val="single" w:color="auto" w:sz="4" w:space="0"/>
              <w:right w:val="single" w:color="auto" w:sz="4" w:space="0"/>
            </w:tcBorders>
          </w:tcPr>
          <w:p>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1、测评实施团队应不少于4人，其中应有1名高级测评师，1名中级测评师和2名初级测评师，提供资质证明扫描件。（5分）（携带原件至开标现场备查）</w:t>
            </w:r>
          </w:p>
          <w:p>
            <w:pPr>
              <w:widowControl/>
              <w:jc w:val="left"/>
              <w:textAlignment w:val="center"/>
              <w:rPr>
                <w:rFonts w:ascii="宋体" w:hAnsi="宋体"/>
                <w:sz w:val="24"/>
              </w:rPr>
            </w:pPr>
            <w:r>
              <w:rPr>
                <w:rFonts w:hint="eastAsia" w:ascii="宋体" w:hAnsi="宋体" w:cs="宋体"/>
                <w:color w:val="000000" w:themeColor="text1"/>
                <w:kern w:val="0"/>
                <w:sz w:val="22"/>
                <w:szCs w:val="22"/>
                <w:lang w:bidi="ar"/>
                <w14:textFill>
                  <w14:solidFill>
                    <w14:schemeClr w14:val="tx1"/>
                  </w14:solidFill>
                </w14:textFill>
              </w:rPr>
              <w:t xml:space="preserve"> 2、以上人员同时需满足以下资质要求：测评师应具有CISP资质，提供扫描件并加盖供应商公章。（5分）（携带原件至开标现场备查）</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7" w:hRule="atLeast"/>
          <w:jc w:val="center"/>
        </w:trPr>
        <w:tc>
          <w:tcPr>
            <w:tcW w:w="1247"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ascii="宋体" w:hAnsi="宋体"/>
                <w:b/>
                <w:sz w:val="24"/>
              </w:rPr>
            </w:pPr>
          </w:p>
        </w:tc>
        <w:tc>
          <w:tcPr>
            <w:tcW w:w="16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 w:val="24"/>
              </w:rPr>
            </w:pPr>
            <w:r>
              <w:rPr>
                <w:rFonts w:hint="eastAsia" w:ascii="宋体" w:hAnsi="宋体"/>
                <w:b/>
                <w:sz w:val="24"/>
              </w:rPr>
              <w:t>项目业绩</w:t>
            </w:r>
          </w:p>
        </w:tc>
        <w:tc>
          <w:tcPr>
            <w:tcW w:w="5285" w:type="dxa"/>
            <w:tcBorders>
              <w:top w:val="single" w:color="auto" w:sz="4" w:space="0"/>
              <w:left w:val="single" w:color="auto" w:sz="4" w:space="0"/>
              <w:bottom w:val="single" w:color="auto" w:sz="4" w:space="0"/>
              <w:right w:val="single" w:color="auto" w:sz="4" w:space="0"/>
            </w:tcBorders>
          </w:tcPr>
          <w:p>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投标人具有三级信息系统的测评案例，要求必须提供合同首页、合同金额所在页、签字盖章页及相关证明页扫描件作为证明，每提供一个在投标截止日期两个年度内签署的信息安全等级保护三级测评项目合同案例加1分，最高得分为5分。（5分）（携带原件至开标现场备查）</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247" w:type="dxa"/>
            <w:vMerge w:val="restart"/>
            <w:tcBorders>
              <w:top w:val="single" w:color="auto" w:sz="4" w:space="0"/>
              <w:left w:val="single" w:color="auto" w:sz="4" w:space="0"/>
              <w:right w:val="single" w:color="auto" w:sz="4" w:space="0"/>
            </w:tcBorders>
            <w:vAlign w:val="center"/>
          </w:tcPr>
          <w:p>
            <w:pPr>
              <w:snapToGrid w:val="0"/>
              <w:rPr>
                <w:rFonts w:ascii="宋体" w:hAnsi="宋体"/>
                <w:b/>
                <w:sz w:val="24"/>
              </w:rPr>
            </w:pPr>
            <w:r>
              <w:rPr>
                <w:rFonts w:hint="eastAsia" w:ascii="宋体" w:hAnsi="宋体"/>
                <w:b/>
                <w:sz w:val="24"/>
              </w:rPr>
              <w:t>技术部分</w:t>
            </w:r>
          </w:p>
          <w:p>
            <w:pPr>
              <w:snapToGrid w:val="0"/>
              <w:rPr>
                <w:rFonts w:ascii="宋体" w:hAnsi="宋体"/>
                <w:b/>
                <w:sz w:val="24"/>
              </w:rPr>
            </w:pPr>
            <w:r>
              <w:rPr>
                <w:rFonts w:hint="eastAsia" w:ascii="宋体" w:hAnsi="宋体"/>
                <w:b/>
                <w:sz w:val="24"/>
              </w:rPr>
              <w:t>（40分）</w:t>
            </w:r>
          </w:p>
        </w:tc>
        <w:tc>
          <w:tcPr>
            <w:tcW w:w="1693" w:type="dxa"/>
            <w:vMerge w:val="restart"/>
            <w:tcBorders>
              <w:top w:val="single" w:color="auto" w:sz="4" w:space="0"/>
              <w:left w:val="single" w:color="auto" w:sz="4" w:space="0"/>
              <w:right w:val="single" w:color="auto" w:sz="4" w:space="0"/>
            </w:tcBorders>
            <w:vAlign w:val="center"/>
          </w:tcPr>
          <w:p>
            <w:pPr>
              <w:jc w:val="center"/>
              <w:rPr>
                <w:rFonts w:ascii="宋体" w:hAnsi="宋体"/>
                <w:b/>
                <w:sz w:val="24"/>
              </w:rPr>
            </w:pPr>
            <w:r>
              <w:rPr>
                <w:rFonts w:hint="eastAsia" w:ascii="宋体" w:hAnsi="宋体"/>
                <w:b/>
                <w:sz w:val="24"/>
              </w:rPr>
              <w:t>技术服务方案</w:t>
            </w:r>
          </w:p>
        </w:tc>
        <w:tc>
          <w:tcPr>
            <w:tcW w:w="528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等级测评方案：按照项目实施要求，对系统测评项目测评方案详尽，针对性、可行性强。（15分）</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247" w:type="dxa"/>
            <w:vMerge w:val="continue"/>
            <w:tcBorders>
              <w:left w:val="single" w:color="auto" w:sz="4" w:space="0"/>
              <w:right w:val="single" w:color="auto" w:sz="4" w:space="0"/>
            </w:tcBorders>
            <w:vAlign w:val="center"/>
          </w:tcPr>
          <w:p>
            <w:pPr>
              <w:snapToGrid w:val="0"/>
              <w:rPr>
                <w:rFonts w:ascii="宋体" w:hAnsi="宋体"/>
                <w:b/>
                <w:sz w:val="24"/>
              </w:rPr>
            </w:pPr>
          </w:p>
        </w:tc>
        <w:tc>
          <w:tcPr>
            <w:tcW w:w="1693" w:type="dxa"/>
            <w:vMerge w:val="continue"/>
            <w:tcBorders>
              <w:left w:val="single" w:color="auto" w:sz="4" w:space="0"/>
              <w:bottom w:val="single" w:color="auto" w:sz="4" w:space="0"/>
              <w:right w:val="single" w:color="auto" w:sz="4" w:space="0"/>
            </w:tcBorders>
            <w:vAlign w:val="center"/>
          </w:tcPr>
          <w:p>
            <w:pPr>
              <w:jc w:val="center"/>
              <w:rPr>
                <w:rFonts w:ascii="宋体" w:hAnsi="宋体"/>
                <w:b/>
                <w:sz w:val="24"/>
              </w:rPr>
            </w:pPr>
          </w:p>
        </w:tc>
        <w:tc>
          <w:tcPr>
            <w:tcW w:w="528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具有较完整的风险说明及风险规避处置措施。（5分）</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1247" w:type="dxa"/>
            <w:vMerge w:val="continue"/>
            <w:tcBorders>
              <w:left w:val="single" w:color="auto" w:sz="4" w:space="0"/>
              <w:right w:val="single" w:color="auto" w:sz="4" w:space="0"/>
            </w:tcBorders>
            <w:vAlign w:val="center"/>
          </w:tcPr>
          <w:p>
            <w:pPr>
              <w:snapToGrid w:val="0"/>
              <w:rPr>
                <w:rFonts w:ascii="宋体" w:hAnsi="宋体"/>
                <w:b/>
                <w:sz w:val="24"/>
              </w:rPr>
            </w:pPr>
          </w:p>
        </w:tc>
        <w:tc>
          <w:tcPr>
            <w:tcW w:w="16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 w:val="24"/>
              </w:rPr>
            </w:pPr>
            <w:r>
              <w:rPr>
                <w:rFonts w:hint="eastAsia" w:ascii="宋体" w:hAnsi="宋体"/>
                <w:b/>
                <w:sz w:val="24"/>
              </w:rPr>
              <w:t>项目管理方案</w:t>
            </w:r>
          </w:p>
        </w:tc>
        <w:tc>
          <w:tcPr>
            <w:tcW w:w="5285" w:type="dxa"/>
            <w:tcBorders>
              <w:top w:val="single" w:color="auto" w:sz="4" w:space="0"/>
              <w:left w:val="single" w:color="auto" w:sz="4" w:space="0"/>
              <w:bottom w:val="single" w:color="auto" w:sz="4" w:space="0"/>
              <w:right w:val="single" w:color="auto" w:sz="4" w:space="0"/>
            </w:tcBorders>
          </w:tcPr>
          <w:p>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应标人按招标人要求有明确的项目管理措施，并具有详细可行的项目管理方案等。（</w:t>
            </w:r>
            <w:r>
              <w:rPr>
                <w:rFonts w:ascii="宋体" w:hAnsi="宋体" w:cs="宋体"/>
                <w:color w:val="000000" w:themeColor="text1"/>
                <w:kern w:val="0"/>
                <w:sz w:val="22"/>
                <w:szCs w:val="22"/>
                <w:lang w:bidi="ar"/>
                <w14:textFill>
                  <w14:solidFill>
                    <w14:schemeClr w14:val="tx1"/>
                  </w14:solidFill>
                </w14:textFill>
              </w:rPr>
              <w:t>5</w:t>
            </w:r>
            <w:r>
              <w:rPr>
                <w:rFonts w:hint="eastAsia" w:ascii="宋体" w:hAnsi="宋体" w:cs="宋体"/>
                <w:color w:val="000000" w:themeColor="text1"/>
                <w:kern w:val="0"/>
                <w:sz w:val="22"/>
                <w:szCs w:val="22"/>
                <w:lang w:bidi="ar"/>
                <w14:textFill>
                  <w14:solidFill>
                    <w14:schemeClr w14:val="tx1"/>
                  </w14:solidFill>
                </w14:textFill>
              </w:rPr>
              <w:t>分）</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4" w:hRule="atLeast"/>
          <w:jc w:val="center"/>
        </w:trPr>
        <w:tc>
          <w:tcPr>
            <w:tcW w:w="1247" w:type="dxa"/>
            <w:vMerge w:val="continue"/>
            <w:tcBorders>
              <w:left w:val="single" w:color="auto" w:sz="4" w:space="0"/>
              <w:right w:val="single" w:color="auto" w:sz="4" w:space="0"/>
            </w:tcBorders>
            <w:vAlign w:val="center"/>
          </w:tcPr>
          <w:p>
            <w:pPr>
              <w:snapToGrid w:val="0"/>
              <w:rPr>
                <w:rFonts w:ascii="宋体" w:hAnsi="宋体"/>
                <w:b/>
                <w:sz w:val="24"/>
              </w:rPr>
            </w:pPr>
          </w:p>
        </w:tc>
        <w:tc>
          <w:tcPr>
            <w:tcW w:w="1693" w:type="dxa"/>
            <w:tcBorders>
              <w:top w:val="single" w:color="auto" w:sz="4" w:space="0"/>
              <w:left w:val="single" w:color="auto" w:sz="4" w:space="0"/>
              <w:right w:val="single" w:color="auto" w:sz="4" w:space="0"/>
            </w:tcBorders>
            <w:vAlign w:val="center"/>
          </w:tcPr>
          <w:p>
            <w:pPr>
              <w:adjustRightInd w:val="0"/>
              <w:snapToGrid w:val="0"/>
              <w:jc w:val="center"/>
              <w:rPr>
                <w:rFonts w:ascii="宋体" w:hAnsi="宋体"/>
                <w:b/>
                <w:sz w:val="24"/>
                <w:highlight w:val="yellow"/>
              </w:rPr>
            </w:pPr>
            <w:r>
              <w:rPr>
                <w:rFonts w:hint="eastAsia" w:ascii="宋体" w:hAnsi="宋体"/>
                <w:b/>
                <w:sz w:val="24"/>
              </w:rPr>
              <w:t>培训、售后服务方案</w:t>
            </w:r>
          </w:p>
        </w:tc>
        <w:tc>
          <w:tcPr>
            <w:tcW w:w="5285" w:type="dxa"/>
            <w:tcBorders>
              <w:top w:val="single" w:color="auto" w:sz="4" w:space="0"/>
              <w:left w:val="single" w:color="auto" w:sz="4" w:space="0"/>
              <w:right w:val="single" w:color="auto" w:sz="4" w:space="0"/>
            </w:tcBorders>
          </w:tcPr>
          <w:p>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1、投标人应提供专业的线上和线下培训，培训次数分别不少于2次，并提供完善的培训方案。（5分）</w:t>
            </w:r>
          </w:p>
          <w:p>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2、售后服务措施得当，内容完整，可操作性和针对性强。（5分）</w:t>
            </w:r>
          </w:p>
        </w:tc>
        <w:tc>
          <w:tcPr>
            <w:tcW w:w="1134" w:type="dxa"/>
            <w:tcBorders>
              <w:top w:val="single" w:color="auto" w:sz="4" w:space="0"/>
              <w:left w:val="single" w:color="auto" w:sz="4" w:space="0"/>
              <w:right w:val="single" w:color="auto" w:sz="4" w:space="0"/>
            </w:tcBorders>
            <w:vAlign w:val="center"/>
          </w:tcPr>
          <w:p>
            <w:pPr>
              <w:jc w:val="center"/>
              <w:rPr>
                <w:rFonts w:ascii="宋体" w:hAnsi="宋体"/>
                <w:b/>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4" w:hRule="atLeast"/>
          <w:jc w:val="center"/>
        </w:trPr>
        <w:tc>
          <w:tcPr>
            <w:tcW w:w="1247" w:type="dxa"/>
            <w:vMerge w:val="continue"/>
            <w:tcBorders>
              <w:left w:val="single" w:color="auto" w:sz="4" w:space="0"/>
              <w:bottom w:val="single" w:color="auto" w:sz="4" w:space="0"/>
              <w:right w:val="single" w:color="auto" w:sz="4" w:space="0"/>
            </w:tcBorders>
            <w:vAlign w:val="center"/>
          </w:tcPr>
          <w:p>
            <w:pPr>
              <w:snapToGrid w:val="0"/>
              <w:rPr>
                <w:rFonts w:ascii="宋体" w:hAnsi="宋体"/>
                <w:b/>
                <w:color w:val="000000"/>
                <w:sz w:val="24"/>
              </w:rPr>
            </w:pPr>
          </w:p>
        </w:tc>
        <w:tc>
          <w:tcPr>
            <w:tcW w:w="169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b/>
                <w:color w:val="000000"/>
                <w:sz w:val="24"/>
              </w:rPr>
            </w:pPr>
            <w:r>
              <w:rPr>
                <w:rFonts w:hint="eastAsia" w:ascii="宋体" w:hAnsi="宋体"/>
                <w:b/>
                <w:color w:val="000000"/>
                <w:sz w:val="24"/>
              </w:rPr>
              <w:t>测评设备</w:t>
            </w:r>
          </w:p>
        </w:tc>
        <w:tc>
          <w:tcPr>
            <w:tcW w:w="5285" w:type="dxa"/>
            <w:tcBorders>
              <w:top w:val="single" w:color="auto" w:sz="4" w:space="0"/>
              <w:left w:val="single" w:color="auto" w:sz="4" w:space="0"/>
              <w:bottom w:val="single" w:color="auto" w:sz="4" w:space="0"/>
              <w:right w:val="single" w:color="auto" w:sz="4" w:space="0"/>
            </w:tcBorders>
          </w:tcPr>
          <w:p>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投标人具有满足等级测评工作所需要的测评设备和工具，测评能手（网络安全等级保护测评工具）、安全扫描工具（硬件型）、网络协议分析工具、SQL注入测试工具、渗透测试系统/工具。</w:t>
            </w:r>
          </w:p>
          <w:p>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以上 5种设备配备齐全的得5 分、 3-4件的得2分，少于 3件的得 0分。</w:t>
            </w:r>
          </w:p>
          <w:p>
            <w:pPr>
              <w:widowControl/>
              <w:jc w:val="left"/>
              <w:textAlignment w:val="center"/>
              <w:rPr>
                <w:rFonts w:ascii="宋体" w:hAnsi="宋体" w:cs="宋体"/>
                <w:color w:val="000000" w:themeColor="text1"/>
                <w:kern w:val="0"/>
                <w:sz w:val="22"/>
                <w:szCs w:val="22"/>
                <w:lang w:bidi="ar"/>
                <w14:textFill>
                  <w14:solidFill>
                    <w14:schemeClr w14:val="tx1"/>
                  </w14:solidFill>
                </w14:textFill>
              </w:rPr>
            </w:pPr>
            <w:r>
              <w:rPr>
                <w:rFonts w:hint="eastAsia" w:ascii="宋体" w:hAnsi="宋体" w:cs="宋体"/>
                <w:color w:val="000000" w:themeColor="text1"/>
                <w:kern w:val="0"/>
                <w:sz w:val="22"/>
                <w:szCs w:val="22"/>
                <w:lang w:bidi="ar"/>
                <w14:textFill>
                  <w14:solidFill>
                    <w14:schemeClr w14:val="tx1"/>
                  </w14:solidFill>
                </w14:textFill>
              </w:rPr>
              <w:t>注：响应文件中须提供设备/工具购置发票影印件或设备/工具使用截图，提供发票证明的，发票须能反应供应商名称。</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color w:val="000000"/>
                <w:sz w:val="24"/>
              </w:rPr>
            </w:pPr>
            <w:bookmarkStart w:id="37" w:name="_GoBack"/>
            <w:bookmarkEnd w:id="37"/>
          </w:p>
        </w:tc>
      </w:tr>
    </w:tbl>
    <w:p>
      <w:pPr>
        <w:spacing w:after="156" w:afterLines="50" w:line="360" w:lineRule="auto"/>
        <w:ind w:left="142"/>
        <w:outlineLvl w:val="1"/>
        <w:rPr>
          <w:rFonts w:hAnsi="宋体"/>
          <w:b/>
          <w:sz w:val="24"/>
        </w:rPr>
      </w:pPr>
    </w:p>
    <w:p>
      <w:pPr>
        <w:spacing w:after="156" w:afterLines="50" w:line="360" w:lineRule="auto"/>
        <w:ind w:left="142"/>
        <w:outlineLvl w:val="1"/>
        <w:rPr>
          <w:rFonts w:hAnsi="宋体"/>
          <w:b/>
          <w:sz w:val="24"/>
        </w:rPr>
      </w:pPr>
    </w:p>
    <w:p>
      <w:pPr>
        <w:spacing w:after="156" w:afterLines="50" w:line="360" w:lineRule="auto"/>
        <w:ind w:left="142"/>
        <w:outlineLvl w:val="1"/>
        <w:rPr>
          <w:rFonts w:hAnsi="宋体"/>
          <w:b/>
          <w:sz w:val="24"/>
        </w:rPr>
      </w:pPr>
    </w:p>
    <w:p>
      <w:pPr>
        <w:spacing w:after="156" w:afterLines="50" w:line="360" w:lineRule="auto"/>
        <w:ind w:left="142"/>
        <w:outlineLvl w:val="1"/>
        <w:rPr>
          <w:rFonts w:hAnsi="宋体"/>
          <w:b/>
          <w:sz w:val="24"/>
        </w:rPr>
      </w:pPr>
    </w:p>
    <w:p>
      <w:pPr>
        <w:spacing w:after="156" w:afterLines="50" w:line="360" w:lineRule="auto"/>
        <w:ind w:left="142"/>
        <w:outlineLvl w:val="1"/>
        <w:rPr>
          <w:rFonts w:hAnsi="宋体"/>
          <w:b/>
          <w:sz w:val="24"/>
        </w:rPr>
      </w:pPr>
    </w:p>
    <w:p>
      <w:pPr>
        <w:spacing w:after="156" w:afterLines="50" w:line="360" w:lineRule="auto"/>
        <w:ind w:left="142"/>
        <w:outlineLvl w:val="1"/>
        <w:rPr>
          <w:rFonts w:hAnsi="宋体"/>
          <w:b/>
          <w:sz w:val="24"/>
        </w:rPr>
      </w:pPr>
    </w:p>
    <w:p>
      <w:pPr>
        <w:spacing w:after="156" w:afterLines="50" w:line="360" w:lineRule="auto"/>
        <w:ind w:left="142"/>
        <w:outlineLvl w:val="1"/>
        <w:rPr>
          <w:rFonts w:hAnsi="宋体"/>
          <w:b/>
          <w:sz w:val="24"/>
        </w:rPr>
      </w:pPr>
    </w:p>
    <w:p>
      <w:pPr>
        <w:spacing w:after="156" w:afterLines="50" w:line="360" w:lineRule="auto"/>
        <w:ind w:left="142"/>
        <w:outlineLvl w:val="1"/>
        <w:rPr>
          <w:rFonts w:hAnsi="宋体"/>
          <w:b/>
          <w:sz w:val="24"/>
        </w:rPr>
      </w:pPr>
    </w:p>
    <w:p>
      <w:pPr>
        <w:spacing w:after="156" w:afterLines="50" w:line="360" w:lineRule="auto"/>
        <w:ind w:left="142"/>
        <w:outlineLvl w:val="1"/>
        <w:rPr>
          <w:rFonts w:hAnsi="宋体"/>
          <w:b/>
          <w:sz w:val="24"/>
        </w:rPr>
      </w:pPr>
    </w:p>
    <w:p>
      <w:pPr>
        <w:spacing w:after="156" w:afterLines="50" w:line="360" w:lineRule="auto"/>
        <w:ind w:left="142"/>
        <w:outlineLvl w:val="1"/>
        <w:rPr>
          <w:rFonts w:hAnsi="宋体"/>
          <w:b/>
          <w:sz w:val="24"/>
        </w:rPr>
      </w:pPr>
    </w:p>
    <w:p>
      <w:pPr>
        <w:spacing w:after="156" w:afterLines="50" w:line="360" w:lineRule="auto"/>
        <w:ind w:left="142"/>
        <w:outlineLvl w:val="1"/>
        <w:rPr>
          <w:rFonts w:hAnsi="宋体"/>
          <w:b/>
          <w:sz w:val="24"/>
        </w:rPr>
      </w:pPr>
    </w:p>
    <w:p>
      <w:pPr>
        <w:spacing w:after="156" w:afterLines="50" w:line="360" w:lineRule="auto"/>
        <w:ind w:left="142"/>
        <w:outlineLvl w:val="1"/>
        <w:rPr>
          <w:rFonts w:hAnsi="宋体"/>
          <w:b/>
          <w:sz w:val="24"/>
        </w:rPr>
      </w:pPr>
    </w:p>
    <w:p>
      <w:pPr>
        <w:spacing w:after="156" w:afterLines="50" w:line="360" w:lineRule="auto"/>
        <w:ind w:left="142"/>
        <w:outlineLvl w:val="1"/>
        <w:rPr>
          <w:rFonts w:hAnsi="宋体"/>
          <w:b/>
          <w:sz w:val="24"/>
        </w:rPr>
      </w:pPr>
    </w:p>
    <w:p>
      <w:pPr>
        <w:spacing w:after="156" w:afterLines="50" w:line="360" w:lineRule="auto"/>
        <w:ind w:left="142"/>
        <w:outlineLvl w:val="1"/>
        <w:rPr>
          <w:rFonts w:hAnsi="宋体"/>
          <w:b/>
          <w:sz w:val="24"/>
        </w:rPr>
      </w:pPr>
    </w:p>
    <w:p>
      <w:pPr>
        <w:spacing w:after="156" w:afterLines="50" w:line="360" w:lineRule="auto"/>
        <w:ind w:left="142"/>
        <w:outlineLvl w:val="1"/>
        <w:rPr>
          <w:rFonts w:hAnsi="宋体"/>
          <w:b/>
          <w:sz w:val="24"/>
        </w:rPr>
        <w:sectPr>
          <w:pgSz w:w="11906" w:h="16838"/>
          <w:pgMar w:top="1134" w:right="1134" w:bottom="1134" w:left="1134" w:header="567" w:footer="567" w:gutter="0"/>
          <w:pgNumType w:start="1" w:chapStyle="1" w:chapSep="emDash"/>
          <w:cols w:space="425" w:num="1"/>
          <w:titlePg/>
          <w:docGrid w:type="lines" w:linePitch="312" w:charSpace="0"/>
        </w:sectPr>
      </w:pPr>
    </w:p>
    <w:p>
      <w:pPr>
        <w:spacing w:after="156" w:afterLines="50" w:line="360" w:lineRule="auto"/>
        <w:ind w:left="142"/>
        <w:jc w:val="center"/>
        <w:outlineLvl w:val="1"/>
        <w:rPr>
          <w:rFonts w:hAnsi="宋体"/>
          <w:b/>
          <w:sz w:val="36"/>
          <w:szCs w:val="36"/>
        </w:rPr>
      </w:pPr>
    </w:p>
    <w:p>
      <w:pPr>
        <w:spacing w:after="156" w:afterLines="50" w:line="360" w:lineRule="auto"/>
        <w:ind w:left="142"/>
        <w:jc w:val="center"/>
        <w:outlineLvl w:val="1"/>
        <w:rPr>
          <w:rFonts w:hAnsi="宋体"/>
          <w:b/>
          <w:sz w:val="36"/>
          <w:szCs w:val="36"/>
        </w:rPr>
      </w:pPr>
    </w:p>
    <w:p>
      <w:pPr>
        <w:spacing w:after="156" w:afterLines="50" w:line="360" w:lineRule="auto"/>
        <w:ind w:left="142"/>
        <w:jc w:val="center"/>
        <w:outlineLvl w:val="1"/>
        <w:rPr>
          <w:rFonts w:hAnsi="宋体"/>
          <w:b/>
          <w:sz w:val="36"/>
          <w:szCs w:val="36"/>
        </w:rPr>
      </w:pPr>
      <w:r>
        <w:rPr>
          <w:rFonts w:hint="eastAsia" w:hAnsi="宋体"/>
          <w:b/>
          <w:sz w:val="36"/>
          <w:szCs w:val="36"/>
        </w:rPr>
        <w:t xml:space="preserve">安徽职业技术学院信息系统安全等级保护测评服务项目 </w:t>
      </w:r>
    </w:p>
    <w:p>
      <w:pPr>
        <w:spacing w:after="156" w:afterLines="50" w:line="360" w:lineRule="auto"/>
        <w:ind w:left="142"/>
        <w:jc w:val="center"/>
        <w:outlineLvl w:val="1"/>
        <w:rPr>
          <w:rFonts w:hAnsi="宋体"/>
          <w:b/>
          <w:sz w:val="36"/>
          <w:szCs w:val="36"/>
        </w:rPr>
      </w:pPr>
    </w:p>
    <w:p>
      <w:pPr>
        <w:spacing w:after="156" w:afterLines="50" w:line="360" w:lineRule="auto"/>
        <w:ind w:left="142"/>
        <w:jc w:val="center"/>
        <w:outlineLvl w:val="1"/>
        <w:rPr>
          <w:rFonts w:hAnsi="宋体"/>
          <w:b/>
          <w:sz w:val="84"/>
          <w:szCs w:val="84"/>
        </w:rPr>
      </w:pPr>
      <w:r>
        <w:rPr>
          <w:rFonts w:hint="eastAsia" w:hAnsi="宋体"/>
          <w:b/>
          <w:sz w:val="84"/>
          <w:szCs w:val="84"/>
        </w:rPr>
        <w:t>投</w:t>
      </w:r>
    </w:p>
    <w:p>
      <w:pPr>
        <w:spacing w:after="156" w:afterLines="50" w:line="360" w:lineRule="auto"/>
        <w:ind w:left="142"/>
        <w:jc w:val="center"/>
        <w:outlineLvl w:val="1"/>
        <w:rPr>
          <w:rFonts w:hAnsi="宋体"/>
          <w:b/>
          <w:sz w:val="84"/>
          <w:szCs w:val="84"/>
        </w:rPr>
      </w:pPr>
      <w:r>
        <w:rPr>
          <w:rFonts w:hint="eastAsia" w:hAnsi="宋体"/>
          <w:b/>
          <w:sz w:val="84"/>
          <w:szCs w:val="84"/>
        </w:rPr>
        <w:t>标</w:t>
      </w:r>
    </w:p>
    <w:p>
      <w:pPr>
        <w:spacing w:after="156" w:afterLines="50" w:line="360" w:lineRule="auto"/>
        <w:ind w:left="142"/>
        <w:jc w:val="center"/>
        <w:outlineLvl w:val="1"/>
        <w:rPr>
          <w:rFonts w:hAnsi="宋体"/>
          <w:b/>
          <w:sz w:val="84"/>
          <w:szCs w:val="84"/>
        </w:rPr>
      </w:pPr>
      <w:r>
        <w:rPr>
          <w:rFonts w:hint="eastAsia" w:hAnsi="宋体"/>
          <w:b/>
          <w:sz w:val="84"/>
          <w:szCs w:val="84"/>
        </w:rPr>
        <w:t>文</w:t>
      </w:r>
    </w:p>
    <w:p>
      <w:pPr>
        <w:spacing w:after="156" w:afterLines="50" w:line="360" w:lineRule="auto"/>
        <w:ind w:left="142"/>
        <w:jc w:val="center"/>
        <w:outlineLvl w:val="1"/>
        <w:rPr>
          <w:rFonts w:hAnsi="宋体"/>
          <w:b/>
          <w:sz w:val="84"/>
          <w:szCs w:val="84"/>
        </w:rPr>
      </w:pPr>
      <w:r>
        <w:rPr>
          <w:rFonts w:hint="eastAsia" w:hAnsi="宋体"/>
          <w:b/>
          <w:sz w:val="84"/>
          <w:szCs w:val="84"/>
        </w:rPr>
        <w:t>件</w:t>
      </w:r>
    </w:p>
    <w:p>
      <w:pPr>
        <w:spacing w:after="156" w:afterLines="50" w:line="360" w:lineRule="auto"/>
        <w:ind w:left="142"/>
        <w:jc w:val="center"/>
        <w:outlineLvl w:val="1"/>
        <w:rPr>
          <w:rFonts w:hAnsi="宋体"/>
          <w:b/>
          <w:sz w:val="36"/>
          <w:szCs w:val="36"/>
        </w:rPr>
      </w:pPr>
    </w:p>
    <w:p>
      <w:pPr>
        <w:spacing w:after="156" w:afterLines="50" w:line="360" w:lineRule="auto"/>
        <w:ind w:left="142"/>
        <w:jc w:val="center"/>
        <w:outlineLvl w:val="1"/>
        <w:rPr>
          <w:rFonts w:hAnsi="宋体"/>
          <w:b/>
          <w:sz w:val="36"/>
          <w:szCs w:val="36"/>
        </w:rPr>
      </w:pPr>
    </w:p>
    <w:p>
      <w:pPr>
        <w:spacing w:after="156" w:afterLines="50" w:line="360" w:lineRule="auto"/>
        <w:ind w:left="142" w:firstLine="542" w:firstLineChars="150"/>
        <w:outlineLvl w:val="1"/>
        <w:rPr>
          <w:rFonts w:hAnsi="宋体"/>
          <w:b/>
          <w:sz w:val="36"/>
          <w:szCs w:val="36"/>
          <w:u w:val="single"/>
        </w:rPr>
      </w:pPr>
      <w:r>
        <w:rPr>
          <w:rFonts w:hint="eastAsia" w:hAnsi="宋体"/>
          <w:b/>
          <w:sz w:val="36"/>
          <w:szCs w:val="36"/>
        </w:rPr>
        <w:t>单位名称：</w:t>
      </w:r>
      <w:r>
        <w:rPr>
          <w:rFonts w:hint="eastAsia" w:hAnsi="宋体"/>
          <w:b/>
          <w:sz w:val="36"/>
          <w:szCs w:val="36"/>
          <w:u w:val="single"/>
        </w:rPr>
        <w:t xml:space="preserve">                            </w:t>
      </w:r>
    </w:p>
    <w:p>
      <w:pPr>
        <w:spacing w:after="156" w:afterLines="50" w:line="360" w:lineRule="auto"/>
        <w:ind w:left="142" w:firstLine="542" w:firstLineChars="150"/>
        <w:outlineLvl w:val="1"/>
        <w:rPr>
          <w:rFonts w:hAnsi="宋体"/>
          <w:b/>
          <w:sz w:val="36"/>
          <w:szCs w:val="36"/>
          <w:u w:val="single"/>
        </w:rPr>
        <w:sectPr>
          <w:pgSz w:w="11906" w:h="16838"/>
          <w:pgMar w:top="1134" w:right="1134" w:bottom="1134" w:left="1134" w:header="567" w:footer="567" w:gutter="0"/>
          <w:pgNumType w:start="1" w:chapStyle="1" w:chapSep="emDash"/>
          <w:cols w:space="425" w:num="1"/>
          <w:titlePg/>
          <w:docGrid w:type="lines" w:linePitch="312" w:charSpace="0"/>
        </w:sectPr>
      </w:pPr>
      <w:r>
        <w:rPr>
          <w:rFonts w:hint="eastAsia" w:hAnsi="宋体"/>
          <w:b/>
          <w:sz w:val="36"/>
          <w:szCs w:val="36"/>
        </w:rPr>
        <w:t>投标时间：</w:t>
      </w:r>
      <w:r>
        <w:rPr>
          <w:rFonts w:hint="eastAsia" w:hAnsi="宋体"/>
          <w:b/>
          <w:sz w:val="36"/>
          <w:szCs w:val="36"/>
          <w:u w:val="single"/>
        </w:rPr>
        <w:t xml:space="preserve">                            </w:t>
      </w:r>
    </w:p>
    <w:p>
      <w:pPr>
        <w:spacing w:after="156" w:afterLines="50" w:line="360" w:lineRule="auto"/>
        <w:ind w:left="142"/>
        <w:outlineLvl w:val="1"/>
        <w:rPr>
          <w:rFonts w:hAnsi="宋体"/>
          <w:b/>
          <w:sz w:val="24"/>
        </w:rPr>
      </w:pPr>
      <w:r>
        <w:rPr>
          <w:rFonts w:hint="eastAsia" w:hAnsi="宋体"/>
          <w:b/>
          <w:sz w:val="24"/>
        </w:rPr>
        <w:t>1.8投标</w:t>
      </w:r>
      <w:r>
        <w:rPr>
          <w:rFonts w:hAnsi="宋体"/>
          <w:b/>
          <w:sz w:val="24"/>
        </w:rPr>
        <w:t>文件的编制</w:t>
      </w:r>
      <w:bookmarkEnd w:id="13"/>
      <w:bookmarkEnd w:id="16"/>
    </w:p>
    <w:p>
      <w:pPr>
        <w:spacing w:after="156" w:afterLines="50" w:line="360" w:lineRule="auto"/>
        <w:ind w:left="142"/>
        <w:outlineLvl w:val="1"/>
        <w:rPr>
          <w:rFonts w:hAnsi="宋体"/>
          <w:b/>
          <w:sz w:val="24"/>
        </w:rPr>
      </w:pPr>
      <w:r>
        <w:rPr>
          <w:rFonts w:hint="eastAsia" w:hAnsi="宋体"/>
          <w:b/>
          <w:sz w:val="24"/>
        </w:rPr>
        <w:t>18.1投标文件资料清单</w:t>
      </w:r>
    </w:p>
    <w:tbl>
      <w:tblPr>
        <w:tblStyle w:val="32"/>
        <w:tblW w:w="8646"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6520"/>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13"/>
              <w:spacing w:line="360" w:lineRule="auto"/>
              <w:ind w:firstLine="0"/>
              <w:jc w:val="center"/>
              <w:rPr>
                <w:rFonts w:hAnsi="宋体"/>
                <w:b/>
                <w:sz w:val="24"/>
              </w:rPr>
            </w:pPr>
            <w:r>
              <w:rPr>
                <w:rFonts w:hint="eastAsia" w:hAnsi="宋体"/>
                <w:b/>
                <w:sz w:val="24"/>
              </w:rPr>
              <w:t>序号</w:t>
            </w:r>
          </w:p>
        </w:tc>
        <w:tc>
          <w:tcPr>
            <w:tcW w:w="6520" w:type="dxa"/>
          </w:tcPr>
          <w:p>
            <w:pPr>
              <w:pStyle w:val="13"/>
              <w:spacing w:line="360" w:lineRule="auto"/>
              <w:ind w:firstLine="0"/>
              <w:jc w:val="center"/>
              <w:rPr>
                <w:rFonts w:hAnsi="宋体"/>
                <w:b/>
                <w:sz w:val="24"/>
              </w:rPr>
            </w:pPr>
            <w:r>
              <w:rPr>
                <w:rFonts w:hint="eastAsia" w:hAnsi="宋体"/>
                <w:b/>
                <w:sz w:val="24"/>
              </w:rPr>
              <w:t>资料名称</w:t>
            </w:r>
          </w:p>
        </w:tc>
        <w:tc>
          <w:tcPr>
            <w:tcW w:w="992" w:type="dxa"/>
          </w:tcPr>
          <w:p>
            <w:pPr>
              <w:pStyle w:val="13"/>
              <w:spacing w:line="360" w:lineRule="auto"/>
              <w:ind w:firstLine="0"/>
              <w:jc w:val="center"/>
              <w:rPr>
                <w:rFonts w:hAnsi="宋体"/>
                <w:b/>
                <w:sz w:val="24"/>
              </w:rPr>
            </w:pPr>
            <w:r>
              <w:rPr>
                <w:rFonts w:hint="eastAsia" w:hAnsi="宋体"/>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13"/>
              <w:spacing w:line="360" w:lineRule="auto"/>
              <w:ind w:firstLine="0"/>
              <w:jc w:val="center"/>
              <w:rPr>
                <w:rFonts w:hAnsi="宋体"/>
                <w:sz w:val="24"/>
              </w:rPr>
            </w:pPr>
            <w:r>
              <w:rPr>
                <w:rFonts w:hint="eastAsia" w:hAnsi="宋体"/>
                <w:sz w:val="24"/>
              </w:rPr>
              <w:t>1</w:t>
            </w:r>
          </w:p>
        </w:tc>
        <w:tc>
          <w:tcPr>
            <w:tcW w:w="6520" w:type="dxa"/>
          </w:tcPr>
          <w:p>
            <w:pPr>
              <w:pStyle w:val="13"/>
              <w:spacing w:line="360" w:lineRule="auto"/>
              <w:ind w:firstLine="0"/>
              <w:rPr>
                <w:rFonts w:hAnsi="宋体"/>
                <w:sz w:val="24"/>
              </w:rPr>
            </w:pPr>
            <w:r>
              <w:rPr>
                <w:rFonts w:hint="eastAsia" w:hAnsi="宋体"/>
                <w:sz w:val="24"/>
              </w:rPr>
              <w:t>开标一览表</w:t>
            </w:r>
          </w:p>
        </w:tc>
        <w:tc>
          <w:tcPr>
            <w:tcW w:w="992" w:type="dxa"/>
          </w:tcPr>
          <w:p>
            <w:pPr>
              <w:pStyle w:val="13"/>
              <w:spacing w:line="360" w:lineRule="auto"/>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13"/>
              <w:spacing w:line="360" w:lineRule="auto"/>
              <w:ind w:firstLine="0"/>
              <w:jc w:val="center"/>
              <w:rPr>
                <w:rFonts w:hAnsi="宋体"/>
                <w:sz w:val="24"/>
              </w:rPr>
            </w:pPr>
            <w:r>
              <w:rPr>
                <w:rFonts w:hint="eastAsia" w:hAnsi="宋体"/>
                <w:sz w:val="24"/>
              </w:rPr>
              <w:t>2</w:t>
            </w:r>
          </w:p>
        </w:tc>
        <w:tc>
          <w:tcPr>
            <w:tcW w:w="6520" w:type="dxa"/>
          </w:tcPr>
          <w:p>
            <w:pPr>
              <w:pStyle w:val="13"/>
              <w:spacing w:line="360" w:lineRule="auto"/>
              <w:ind w:firstLine="0"/>
              <w:rPr>
                <w:rFonts w:hAnsi="宋体"/>
                <w:sz w:val="24"/>
              </w:rPr>
            </w:pPr>
            <w:r>
              <w:rPr>
                <w:rFonts w:hint="eastAsia" w:hAnsi="宋体"/>
                <w:sz w:val="24"/>
              </w:rPr>
              <w:t>投标保证金退还声明（中标供应商办理合同备案时须携带）</w:t>
            </w:r>
          </w:p>
        </w:tc>
        <w:tc>
          <w:tcPr>
            <w:tcW w:w="992" w:type="dxa"/>
          </w:tcPr>
          <w:p>
            <w:pPr>
              <w:pStyle w:val="13"/>
              <w:spacing w:line="360" w:lineRule="auto"/>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34" w:type="dxa"/>
          </w:tcPr>
          <w:p>
            <w:pPr>
              <w:pStyle w:val="13"/>
              <w:spacing w:line="360" w:lineRule="auto"/>
              <w:ind w:firstLine="0"/>
              <w:jc w:val="center"/>
              <w:rPr>
                <w:rFonts w:hAnsi="宋体"/>
                <w:sz w:val="24"/>
              </w:rPr>
            </w:pPr>
            <w:r>
              <w:rPr>
                <w:rFonts w:hint="eastAsia" w:hAnsi="宋体"/>
                <w:sz w:val="24"/>
              </w:rPr>
              <w:t>3</w:t>
            </w:r>
          </w:p>
        </w:tc>
        <w:tc>
          <w:tcPr>
            <w:tcW w:w="6520" w:type="dxa"/>
          </w:tcPr>
          <w:p>
            <w:pPr>
              <w:pStyle w:val="13"/>
              <w:spacing w:line="360" w:lineRule="auto"/>
              <w:ind w:firstLine="0"/>
              <w:rPr>
                <w:rFonts w:hAnsi="宋体"/>
                <w:sz w:val="24"/>
              </w:rPr>
            </w:pPr>
            <w:r>
              <w:rPr>
                <w:rFonts w:hint="eastAsia" w:hAnsi="宋体"/>
                <w:sz w:val="24"/>
              </w:rPr>
              <w:t>投标供应商综合情况简介</w:t>
            </w:r>
          </w:p>
        </w:tc>
        <w:tc>
          <w:tcPr>
            <w:tcW w:w="992" w:type="dxa"/>
          </w:tcPr>
          <w:p>
            <w:pPr>
              <w:pStyle w:val="13"/>
              <w:spacing w:line="360" w:lineRule="auto"/>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13"/>
              <w:spacing w:line="360" w:lineRule="auto"/>
              <w:ind w:firstLine="0"/>
              <w:jc w:val="center"/>
              <w:rPr>
                <w:rFonts w:hAnsi="宋体"/>
                <w:sz w:val="24"/>
              </w:rPr>
            </w:pPr>
            <w:r>
              <w:rPr>
                <w:rFonts w:hint="eastAsia" w:hAnsi="宋体"/>
                <w:sz w:val="24"/>
              </w:rPr>
              <w:t>4</w:t>
            </w:r>
          </w:p>
        </w:tc>
        <w:tc>
          <w:tcPr>
            <w:tcW w:w="6520" w:type="dxa"/>
          </w:tcPr>
          <w:p>
            <w:pPr>
              <w:pStyle w:val="13"/>
              <w:spacing w:line="360" w:lineRule="auto"/>
              <w:ind w:firstLine="0"/>
              <w:rPr>
                <w:rFonts w:hAnsi="宋体"/>
                <w:sz w:val="24"/>
              </w:rPr>
            </w:pPr>
            <w:r>
              <w:rPr>
                <w:rFonts w:hint="eastAsia" w:hAnsi="宋体"/>
                <w:sz w:val="24"/>
              </w:rPr>
              <w:t>投标函</w:t>
            </w:r>
          </w:p>
        </w:tc>
        <w:tc>
          <w:tcPr>
            <w:tcW w:w="992" w:type="dxa"/>
          </w:tcPr>
          <w:p>
            <w:pPr>
              <w:pStyle w:val="13"/>
              <w:spacing w:line="360" w:lineRule="auto"/>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13"/>
              <w:spacing w:line="360" w:lineRule="auto"/>
              <w:ind w:firstLine="0"/>
              <w:jc w:val="center"/>
              <w:rPr>
                <w:rFonts w:hAnsi="宋体"/>
                <w:sz w:val="24"/>
              </w:rPr>
            </w:pPr>
            <w:r>
              <w:rPr>
                <w:rFonts w:hint="eastAsia" w:hAnsi="宋体"/>
                <w:sz w:val="24"/>
              </w:rPr>
              <w:t>5</w:t>
            </w:r>
          </w:p>
        </w:tc>
        <w:tc>
          <w:tcPr>
            <w:tcW w:w="6520" w:type="dxa"/>
          </w:tcPr>
          <w:p>
            <w:pPr>
              <w:pStyle w:val="13"/>
              <w:spacing w:line="360" w:lineRule="auto"/>
              <w:ind w:firstLine="0"/>
              <w:rPr>
                <w:rFonts w:hAnsi="宋体"/>
                <w:sz w:val="24"/>
              </w:rPr>
            </w:pPr>
            <w:r>
              <w:rPr>
                <w:rFonts w:hint="eastAsia" w:hAnsi="宋体"/>
                <w:sz w:val="24"/>
              </w:rPr>
              <w:t>无重大违法记录声明函，无不良信用记录声明函</w:t>
            </w:r>
          </w:p>
        </w:tc>
        <w:tc>
          <w:tcPr>
            <w:tcW w:w="992" w:type="dxa"/>
          </w:tcPr>
          <w:p>
            <w:pPr>
              <w:pStyle w:val="13"/>
              <w:spacing w:line="360" w:lineRule="auto"/>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13"/>
              <w:spacing w:line="360" w:lineRule="auto"/>
              <w:ind w:firstLine="0"/>
              <w:jc w:val="center"/>
              <w:rPr>
                <w:rFonts w:hAnsi="宋体"/>
                <w:sz w:val="24"/>
              </w:rPr>
            </w:pPr>
            <w:r>
              <w:rPr>
                <w:rFonts w:hint="eastAsia" w:hAnsi="宋体"/>
                <w:sz w:val="24"/>
              </w:rPr>
              <w:t>6</w:t>
            </w:r>
          </w:p>
        </w:tc>
        <w:tc>
          <w:tcPr>
            <w:tcW w:w="6520" w:type="dxa"/>
          </w:tcPr>
          <w:p>
            <w:pPr>
              <w:pStyle w:val="13"/>
              <w:spacing w:line="360" w:lineRule="auto"/>
              <w:ind w:firstLine="0"/>
              <w:rPr>
                <w:rFonts w:hAnsi="宋体"/>
                <w:sz w:val="24"/>
              </w:rPr>
            </w:pPr>
            <w:r>
              <w:rPr>
                <w:rFonts w:hint="eastAsia" w:hAnsi="宋体"/>
                <w:sz w:val="24"/>
              </w:rPr>
              <w:t>投标业绩承诺函</w:t>
            </w:r>
          </w:p>
        </w:tc>
        <w:tc>
          <w:tcPr>
            <w:tcW w:w="992" w:type="dxa"/>
          </w:tcPr>
          <w:p>
            <w:pPr>
              <w:pStyle w:val="13"/>
              <w:spacing w:line="360" w:lineRule="auto"/>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34" w:type="dxa"/>
          </w:tcPr>
          <w:p>
            <w:pPr>
              <w:pStyle w:val="13"/>
              <w:spacing w:line="360" w:lineRule="auto"/>
              <w:ind w:firstLine="0"/>
              <w:jc w:val="center"/>
              <w:rPr>
                <w:rFonts w:hAnsi="宋体"/>
                <w:sz w:val="24"/>
              </w:rPr>
            </w:pPr>
            <w:r>
              <w:rPr>
                <w:rFonts w:hint="eastAsia" w:hAnsi="宋体"/>
                <w:sz w:val="24"/>
              </w:rPr>
              <w:t>7</w:t>
            </w:r>
          </w:p>
        </w:tc>
        <w:tc>
          <w:tcPr>
            <w:tcW w:w="6520" w:type="dxa"/>
          </w:tcPr>
          <w:p>
            <w:pPr>
              <w:pStyle w:val="13"/>
              <w:spacing w:line="360" w:lineRule="auto"/>
              <w:ind w:firstLine="0"/>
              <w:rPr>
                <w:rFonts w:hAnsi="宋体"/>
                <w:sz w:val="24"/>
              </w:rPr>
            </w:pPr>
            <w:r>
              <w:rPr>
                <w:rFonts w:hint="eastAsia" w:hAnsi="宋体"/>
                <w:sz w:val="24"/>
              </w:rPr>
              <w:t>投标授权书</w:t>
            </w:r>
          </w:p>
        </w:tc>
        <w:tc>
          <w:tcPr>
            <w:tcW w:w="992" w:type="dxa"/>
          </w:tcPr>
          <w:p>
            <w:pPr>
              <w:pStyle w:val="13"/>
              <w:spacing w:line="360" w:lineRule="auto"/>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13"/>
              <w:spacing w:line="360" w:lineRule="auto"/>
              <w:ind w:firstLine="0"/>
              <w:jc w:val="center"/>
              <w:rPr>
                <w:rFonts w:hAnsi="宋体"/>
                <w:sz w:val="24"/>
              </w:rPr>
            </w:pPr>
            <w:r>
              <w:rPr>
                <w:rFonts w:hint="eastAsia" w:hAnsi="宋体"/>
                <w:sz w:val="24"/>
              </w:rPr>
              <w:t>8</w:t>
            </w:r>
          </w:p>
        </w:tc>
        <w:tc>
          <w:tcPr>
            <w:tcW w:w="6520" w:type="dxa"/>
          </w:tcPr>
          <w:p>
            <w:pPr>
              <w:pStyle w:val="13"/>
              <w:spacing w:line="360" w:lineRule="auto"/>
              <w:ind w:firstLine="0"/>
              <w:rPr>
                <w:rFonts w:hAnsi="宋体"/>
                <w:sz w:val="24"/>
              </w:rPr>
            </w:pPr>
            <w:r>
              <w:rPr>
                <w:rFonts w:hint="eastAsia" w:hAnsi="宋体"/>
                <w:sz w:val="24"/>
              </w:rPr>
              <w:t>本地化服务情况一览表</w:t>
            </w:r>
          </w:p>
        </w:tc>
        <w:tc>
          <w:tcPr>
            <w:tcW w:w="992" w:type="dxa"/>
          </w:tcPr>
          <w:p>
            <w:pPr>
              <w:pStyle w:val="13"/>
              <w:spacing w:line="360" w:lineRule="auto"/>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13"/>
              <w:spacing w:line="360" w:lineRule="auto"/>
              <w:ind w:firstLine="0"/>
              <w:jc w:val="center"/>
              <w:rPr>
                <w:rFonts w:hAnsi="宋体"/>
                <w:sz w:val="24"/>
              </w:rPr>
            </w:pPr>
            <w:r>
              <w:rPr>
                <w:rFonts w:hint="eastAsia" w:hAnsi="宋体"/>
                <w:sz w:val="24"/>
              </w:rPr>
              <w:t>9</w:t>
            </w:r>
          </w:p>
        </w:tc>
        <w:tc>
          <w:tcPr>
            <w:tcW w:w="6520" w:type="dxa"/>
          </w:tcPr>
          <w:p>
            <w:pPr>
              <w:pStyle w:val="13"/>
              <w:spacing w:line="360" w:lineRule="auto"/>
              <w:ind w:firstLine="0"/>
              <w:rPr>
                <w:rFonts w:hAnsi="宋体"/>
                <w:sz w:val="24"/>
              </w:rPr>
            </w:pPr>
            <w:r>
              <w:rPr>
                <w:rFonts w:hint="eastAsia" w:hAnsi="宋体"/>
                <w:sz w:val="24"/>
              </w:rPr>
              <w:t>人员配备</w:t>
            </w:r>
          </w:p>
        </w:tc>
        <w:tc>
          <w:tcPr>
            <w:tcW w:w="992" w:type="dxa"/>
          </w:tcPr>
          <w:p>
            <w:pPr>
              <w:pStyle w:val="13"/>
              <w:spacing w:line="360" w:lineRule="auto"/>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13"/>
              <w:spacing w:line="360" w:lineRule="auto"/>
              <w:ind w:firstLine="0"/>
              <w:jc w:val="center"/>
              <w:rPr>
                <w:rFonts w:hAnsi="宋体"/>
                <w:sz w:val="24"/>
              </w:rPr>
            </w:pPr>
            <w:r>
              <w:rPr>
                <w:rFonts w:hint="eastAsia" w:hAnsi="宋体"/>
                <w:sz w:val="24"/>
              </w:rPr>
              <w:t>10</w:t>
            </w:r>
          </w:p>
        </w:tc>
        <w:tc>
          <w:tcPr>
            <w:tcW w:w="6520" w:type="dxa"/>
          </w:tcPr>
          <w:p>
            <w:pPr>
              <w:pStyle w:val="13"/>
              <w:spacing w:line="360" w:lineRule="auto"/>
              <w:ind w:firstLine="0"/>
              <w:rPr>
                <w:rFonts w:hAnsi="宋体"/>
                <w:sz w:val="24"/>
              </w:rPr>
            </w:pPr>
            <w:r>
              <w:rPr>
                <w:rFonts w:hint="eastAsia" w:hAnsi="宋体"/>
                <w:sz w:val="24"/>
              </w:rPr>
              <w:t>技术方案</w:t>
            </w:r>
          </w:p>
        </w:tc>
        <w:tc>
          <w:tcPr>
            <w:tcW w:w="992" w:type="dxa"/>
          </w:tcPr>
          <w:p>
            <w:pPr>
              <w:pStyle w:val="13"/>
              <w:spacing w:line="360" w:lineRule="auto"/>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34" w:type="dxa"/>
          </w:tcPr>
          <w:p>
            <w:pPr>
              <w:pStyle w:val="13"/>
              <w:spacing w:line="360" w:lineRule="auto"/>
              <w:ind w:firstLine="0"/>
              <w:jc w:val="center"/>
              <w:rPr>
                <w:rFonts w:hAnsi="宋体"/>
                <w:sz w:val="24"/>
              </w:rPr>
            </w:pPr>
            <w:r>
              <w:rPr>
                <w:rFonts w:hint="eastAsia" w:hAnsi="宋体"/>
                <w:sz w:val="24"/>
              </w:rPr>
              <w:t>11</w:t>
            </w:r>
          </w:p>
        </w:tc>
        <w:tc>
          <w:tcPr>
            <w:tcW w:w="6520" w:type="dxa"/>
          </w:tcPr>
          <w:p>
            <w:pPr>
              <w:pStyle w:val="13"/>
              <w:spacing w:line="360" w:lineRule="auto"/>
              <w:ind w:firstLine="0"/>
              <w:rPr>
                <w:rFonts w:hAnsi="宋体"/>
                <w:sz w:val="24"/>
              </w:rPr>
            </w:pPr>
            <w:r>
              <w:rPr>
                <w:rFonts w:hint="eastAsia" w:hAnsi="宋体"/>
                <w:sz w:val="24"/>
              </w:rPr>
              <w:t>服务方案</w:t>
            </w:r>
          </w:p>
        </w:tc>
        <w:tc>
          <w:tcPr>
            <w:tcW w:w="992" w:type="dxa"/>
          </w:tcPr>
          <w:p>
            <w:pPr>
              <w:pStyle w:val="13"/>
              <w:spacing w:line="360" w:lineRule="auto"/>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13"/>
              <w:spacing w:line="360" w:lineRule="auto"/>
              <w:ind w:firstLine="0"/>
              <w:jc w:val="center"/>
              <w:rPr>
                <w:rFonts w:hAnsi="宋体"/>
                <w:sz w:val="24"/>
              </w:rPr>
            </w:pPr>
            <w:r>
              <w:rPr>
                <w:rFonts w:hint="eastAsia" w:hAnsi="宋体"/>
                <w:sz w:val="24"/>
              </w:rPr>
              <w:t>12</w:t>
            </w:r>
          </w:p>
        </w:tc>
        <w:tc>
          <w:tcPr>
            <w:tcW w:w="6520" w:type="dxa"/>
          </w:tcPr>
          <w:p>
            <w:pPr>
              <w:pStyle w:val="13"/>
              <w:spacing w:line="360" w:lineRule="auto"/>
              <w:ind w:firstLine="0"/>
              <w:rPr>
                <w:rFonts w:hAnsi="宋体"/>
                <w:sz w:val="24"/>
              </w:rPr>
            </w:pPr>
            <w:r>
              <w:rPr>
                <w:rFonts w:hint="eastAsia" w:hAnsi="宋体"/>
                <w:sz w:val="24"/>
              </w:rPr>
              <w:t>服务承诺</w:t>
            </w:r>
          </w:p>
        </w:tc>
        <w:tc>
          <w:tcPr>
            <w:tcW w:w="992" w:type="dxa"/>
          </w:tcPr>
          <w:p>
            <w:pPr>
              <w:pStyle w:val="13"/>
              <w:spacing w:line="360" w:lineRule="auto"/>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13"/>
              <w:spacing w:line="360" w:lineRule="auto"/>
              <w:ind w:firstLine="0"/>
              <w:jc w:val="center"/>
              <w:rPr>
                <w:rFonts w:hAnsi="宋体"/>
                <w:sz w:val="24"/>
              </w:rPr>
            </w:pPr>
            <w:r>
              <w:rPr>
                <w:rFonts w:hint="eastAsia" w:hAnsi="宋体"/>
                <w:sz w:val="24"/>
              </w:rPr>
              <w:t>13</w:t>
            </w:r>
          </w:p>
        </w:tc>
        <w:tc>
          <w:tcPr>
            <w:tcW w:w="6520" w:type="dxa"/>
          </w:tcPr>
          <w:p>
            <w:pPr>
              <w:pStyle w:val="13"/>
              <w:spacing w:line="360" w:lineRule="auto"/>
              <w:ind w:firstLine="0"/>
              <w:rPr>
                <w:rFonts w:hAnsi="宋体"/>
                <w:sz w:val="24"/>
              </w:rPr>
            </w:pPr>
            <w:r>
              <w:rPr>
                <w:rFonts w:hint="eastAsia" w:hAnsi="宋体"/>
                <w:sz w:val="24"/>
              </w:rPr>
              <w:t>有关证明文件</w:t>
            </w:r>
          </w:p>
        </w:tc>
        <w:tc>
          <w:tcPr>
            <w:tcW w:w="992" w:type="dxa"/>
          </w:tcPr>
          <w:p>
            <w:pPr>
              <w:pStyle w:val="13"/>
              <w:spacing w:line="360" w:lineRule="auto"/>
              <w:ind w:firstLine="0"/>
              <w:rPr>
                <w:rFonts w:hAnsi="宋体"/>
                <w:sz w:val="24"/>
              </w:rPr>
            </w:pPr>
          </w:p>
        </w:tc>
      </w:tr>
    </w:tbl>
    <w:p>
      <w:pPr>
        <w:adjustRightInd w:val="0"/>
        <w:snapToGrid w:val="0"/>
        <w:spacing w:before="62" w:beforeLines="20" w:after="62" w:afterLines="20" w:line="540" w:lineRule="exact"/>
        <w:ind w:right="15" w:rightChars="7"/>
        <w:rPr>
          <w:rFonts w:ascii="宋体" w:hAnsi="宋体"/>
          <w:bCs/>
          <w:sz w:val="28"/>
          <w:szCs w:val="28"/>
        </w:rPr>
      </w:pPr>
    </w:p>
    <w:p>
      <w:pPr>
        <w:adjustRightInd w:val="0"/>
        <w:snapToGrid w:val="0"/>
        <w:spacing w:before="62" w:beforeLines="20" w:after="62" w:afterLines="20" w:line="540" w:lineRule="exact"/>
        <w:ind w:right="15" w:rightChars="7"/>
        <w:rPr>
          <w:rFonts w:ascii="宋体" w:hAnsi="宋体"/>
          <w:bCs/>
          <w:sz w:val="28"/>
          <w:szCs w:val="28"/>
        </w:rPr>
      </w:pPr>
    </w:p>
    <w:p>
      <w:pPr>
        <w:adjustRightInd w:val="0"/>
        <w:snapToGrid w:val="0"/>
        <w:spacing w:before="62" w:beforeLines="20" w:after="62" w:afterLines="20" w:line="540" w:lineRule="exact"/>
        <w:ind w:right="15" w:rightChars="7"/>
        <w:rPr>
          <w:rFonts w:ascii="宋体" w:hAnsi="宋体"/>
          <w:bCs/>
          <w:sz w:val="28"/>
          <w:szCs w:val="28"/>
        </w:rPr>
      </w:pPr>
    </w:p>
    <w:p>
      <w:pPr>
        <w:adjustRightInd w:val="0"/>
        <w:snapToGrid w:val="0"/>
        <w:spacing w:before="62" w:beforeLines="20" w:after="62" w:afterLines="20" w:line="540" w:lineRule="exact"/>
        <w:ind w:right="15" w:rightChars="7"/>
        <w:rPr>
          <w:rFonts w:ascii="宋体" w:hAnsi="宋体"/>
          <w:bCs/>
          <w:sz w:val="28"/>
          <w:szCs w:val="28"/>
        </w:rPr>
      </w:pPr>
    </w:p>
    <w:p>
      <w:pPr>
        <w:adjustRightInd w:val="0"/>
        <w:snapToGrid w:val="0"/>
        <w:spacing w:before="62" w:beforeLines="20" w:after="62" w:afterLines="20" w:line="540" w:lineRule="exact"/>
        <w:ind w:right="15" w:rightChars="7"/>
        <w:rPr>
          <w:rFonts w:ascii="宋体" w:hAnsi="宋体"/>
          <w:bCs/>
          <w:sz w:val="28"/>
          <w:szCs w:val="28"/>
        </w:rPr>
      </w:pPr>
    </w:p>
    <w:p>
      <w:pPr>
        <w:adjustRightInd w:val="0"/>
        <w:snapToGrid w:val="0"/>
        <w:spacing w:before="62" w:beforeLines="20" w:after="62" w:afterLines="20" w:line="540" w:lineRule="exact"/>
        <w:ind w:right="15" w:rightChars="7"/>
        <w:rPr>
          <w:rFonts w:ascii="宋体" w:hAnsi="宋体"/>
          <w:bCs/>
          <w:sz w:val="28"/>
          <w:szCs w:val="28"/>
        </w:rPr>
      </w:pPr>
    </w:p>
    <w:p>
      <w:pPr>
        <w:adjustRightInd w:val="0"/>
        <w:snapToGrid w:val="0"/>
        <w:spacing w:before="62" w:beforeLines="20" w:after="62" w:afterLines="20" w:line="540" w:lineRule="exact"/>
        <w:ind w:right="15" w:rightChars="7"/>
        <w:rPr>
          <w:rFonts w:ascii="宋体" w:hAnsi="宋体"/>
          <w:bCs/>
          <w:sz w:val="28"/>
          <w:szCs w:val="28"/>
        </w:rPr>
      </w:pPr>
    </w:p>
    <w:p>
      <w:pPr>
        <w:adjustRightInd w:val="0"/>
        <w:snapToGrid w:val="0"/>
        <w:spacing w:before="62" w:beforeLines="20" w:after="62" w:afterLines="20" w:line="540" w:lineRule="exact"/>
        <w:ind w:right="15" w:rightChars="7"/>
        <w:rPr>
          <w:rFonts w:ascii="宋体" w:hAnsi="宋体"/>
          <w:bCs/>
          <w:sz w:val="28"/>
          <w:szCs w:val="28"/>
        </w:rPr>
      </w:pPr>
    </w:p>
    <w:p>
      <w:pPr>
        <w:adjustRightInd w:val="0"/>
        <w:snapToGrid w:val="0"/>
        <w:spacing w:before="62" w:beforeLines="20" w:after="62" w:afterLines="20" w:line="540" w:lineRule="exact"/>
        <w:ind w:right="15" w:rightChars="7"/>
        <w:rPr>
          <w:rFonts w:ascii="宋体" w:hAnsi="宋体"/>
          <w:bCs/>
          <w:sz w:val="28"/>
          <w:szCs w:val="28"/>
        </w:rPr>
      </w:pPr>
    </w:p>
    <w:p>
      <w:pPr>
        <w:adjustRightInd w:val="0"/>
        <w:snapToGrid w:val="0"/>
        <w:spacing w:before="62" w:beforeLines="20" w:after="62" w:afterLines="20" w:line="540" w:lineRule="exact"/>
        <w:ind w:right="15" w:rightChars="7"/>
        <w:rPr>
          <w:rFonts w:ascii="宋体" w:hAnsi="宋体"/>
          <w:bCs/>
          <w:sz w:val="28"/>
          <w:szCs w:val="28"/>
        </w:rPr>
        <w:sectPr>
          <w:pgSz w:w="11906" w:h="16838"/>
          <w:pgMar w:top="1134" w:right="1134" w:bottom="1134" w:left="1134" w:header="567" w:footer="567" w:gutter="0"/>
          <w:pgNumType w:start="1" w:chapStyle="1" w:chapSep="emDash"/>
          <w:cols w:space="425" w:num="1"/>
          <w:titlePg/>
          <w:docGrid w:type="lines" w:linePitch="312" w:charSpace="0"/>
        </w:sectPr>
      </w:pPr>
    </w:p>
    <w:p>
      <w:pPr>
        <w:adjustRightInd w:val="0"/>
        <w:snapToGrid w:val="0"/>
        <w:spacing w:before="62" w:beforeLines="20" w:after="62" w:afterLines="20" w:line="540" w:lineRule="exact"/>
        <w:ind w:right="15" w:rightChars="7"/>
        <w:rPr>
          <w:rFonts w:ascii="宋体" w:hAnsi="宋体"/>
          <w:bCs/>
          <w:sz w:val="28"/>
          <w:szCs w:val="28"/>
        </w:rPr>
      </w:pPr>
      <w:r>
        <w:rPr>
          <w:rFonts w:hint="eastAsia" w:ascii="宋体" w:hAnsi="宋体"/>
          <w:bCs/>
          <w:sz w:val="28"/>
          <w:szCs w:val="28"/>
        </w:rPr>
        <w:t>附近一</w:t>
      </w:r>
    </w:p>
    <w:p>
      <w:pPr>
        <w:adjustRightInd w:val="0"/>
        <w:snapToGrid w:val="0"/>
        <w:spacing w:before="62" w:beforeLines="20" w:after="62" w:afterLines="20" w:line="540" w:lineRule="exact"/>
        <w:ind w:right="15" w:rightChars="7"/>
        <w:jc w:val="center"/>
        <w:rPr>
          <w:rFonts w:ascii="宋体" w:hAnsi="宋体"/>
          <w:b/>
          <w:bCs/>
          <w:sz w:val="36"/>
          <w:szCs w:val="36"/>
        </w:rPr>
      </w:pPr>
      <w:r>
        <w:rPr>
          <w:rFonts w:hint="eastAsia" w:ascii="宋体" w:hAnsi="宋体"/>
          <w:b/>
          <w:bCs/>
          <w:sz w:val="36"/>
          <w:szCs w:val="36"/>
        </w:rPr>
        <w:t>授 权 委 托 书</w:t>
      </w:r>
    </w:p>
    <w:p>
      <w:pPr>
        <w:pStyle w:val="17"/>
        <w:adjustRightInd w:val="0"/>
        <w:snapToGrid w:val="0"/>
        <w:spacing w:before="62" w:beforeLines="20" w:after="62" w:afterLines="20" w:line="540" w:lineRule="exact"/>
        <w:ind w:left="0" w:leftChars="0" w:right="15" w:rightChars="7" w:firstLine="540" w:firstLineChars="225"/>
        <w:rPr>
          <w:rFonts w:ascii="宋体" w:hAnsi="宋体"/>
          <w:sz w:val="24"/>
        </w:rPr>
      </w:pPr>
    </w:p>
    <w:p>
      <w:pPr>
        <w:pStyle w:val="17"/>
        <w:adjustRightInd w:val="0"/>
        <w:snapToGrid w:val="0"/>
        <w:spacing w:before="62" w:beforeLines="20" w:after="62" w:afterLines="20" w:line="540" w:lineRule="exact"/>
        <w:ind w:left="0" w:leftChars="0" w:right="15" w:rightChars="7" w:firstLine="540" w:firstLineChars="225"/>
        <w:rPr>
          <w:rFonts w:ascii="宋体" w:hAnsi="宋体"/>
          <w:sz w:val="24"/>
        </w:rPr>
      </w:pPr>
      <w:r>
        <w:rPr>
          <w:rFonts w:hint="eastAsia" w:ascii="宋体" w:hAnsi="宋体"/>
          <w:sz w:val="24"/>
        </w:rPr>
        <w:t>本授权委托书声明：我</w:t>
      </w:r>
      <w:r>
        <w:rPr>
          <w:rFonts w:hint="eastAsia" w:ascii="宋体" w:hAnsi="宋体"/>
          <w:sz w:val="24"/>
          <w:u w:val="single"/>
        </w:rPr>
        <w:t xml:space="preserve">  （姓名） </w:t>
      </w:r>
      <w:r>
        <w:rPr>
          <w:rFonts w:hint="eastAsia" w:ascii="宋体" w:hAnsi="宋体"/>
          <w:sz w:val="24"/>
        </w:rPr>
        <w:t xml:space="preserve">系 </w:t>
      </w:r>
      <w:r>
        <w:rPr>
          <w:rFonts w:hint="eastAsia" w:ascii="宋体" w:hAnsi="宋体"/>
          <w:sz w:val="24"/>
          <w:u w:val="single"/>
        </w:rPr>
        <w:t xml:space="preserve"> （投 标 人 名 称） </w:t>
      </w:r>
      <w:r>
        <w:rPr>
          <w:rFonts w:hint="eastAsia" w:ascii="宋体" w:hAnsi="宋体"/>
          <w:sz w:val="24"/>
        </w:rPr>
        <w:t xml:space="preserve">的法定代表人，现授权委托 </w:t>
      </w:r>
      <w:r>
        <w:rPr>
          <w:rFonts w:hint="eastAsia" w:ascii="宋体" w:hAnsi="宋体"/>
          <w:sz w:val="24"/>
          <w:u w:val="single"/>
        </w:rPr>
        <w:t xml:space="preserve">  （单位名称） </w:t>
      </w:r>
      <w:r>
        <w:rPr>
          <w:rFonts w:hint="eastAsia" w:ascii="宋体" w:hAnsi="宋体"/>
          <w:sz w:val="24"/>
        </w:rPr>
        <w:t xml:space="preserve">的 </w:t>
      </w:r>
      <w:r>
        <w:rPr>
          <w:rFonts w:hint="eastAsia" w:ascii="宋体" w:hAnsi="宋体"/>
          <w:sz w:val="24"/>
          <w:u w:val="single"/>
        </w:rPr>
        <w:t xml:space="preserve"> （姓名）</w:t>
      </w:r>
      <w:r>
        <w:rPr>
          <w:rFonts w:ascii="宋体" w:hAnsi="宋体"/>
          <w:sz w:val="24"/>
          <w:u w:val="single"/>
        </w:rPr>
        <w:t xml:space="preserve"> </w:t>
      </w:r>
      <w:r>
        <w:rPr>
          <w:rFonts w:hint="eastAsia" w:ascii="宋体" w:hAnsi="宋体"/>
          <w:sz w:val="24"/>
        </w:rPr>
        <w:t>为我公司的合法代理人，就</w:t>
      </w:r>
      <w:r>
        <w:rPr>
          <w:rFonts w:hint="eastAsia" w:ascii="宋体" w:hAnsi="宋体"/>
          <w:sz w:val="24"/>
          <w:u w:val="single"/>
        </w:rPr>
        <w:t xml:space="preserve">  （项目名称） </w:t>
      </w:r>
      <w:r>
        <w:rPr>
          <w:rFonts w:hint="eastAsia" w:ascii="宋体" w:hAnsi="宋体"/>
          <w:sz w:val="24"/>
        </w:rPr>
        <w:t>的项目，以本公司的名义签署投标书，进行投标、签署合同和处理与之有关的一切事宜。</w:t>
      </w:r>
    </w:p>
    <w:p>
      <w:pPr>
        <w:pStyle w:val="15"/>
        <w:adjustRightInd w:val="0"/>
        <w:snapToGrid w:val="0"/>
        <w:spacing w:before="62" w:beforeLines="20" w:after="62" w:afterLines="20" w:line="540" w:lineRule="exact"/>
        <w:ind w:left="0" w:leftChars="0" w:right="15" w:rightChars="7" w:firstLine="540" w:firstLineChars="225"/>
        <w:rPr>
          <w:rFonts w:ascii="宋体" w:hAnsi="宋体"/>
        </w:rPr>
      </w:pPr>
      <w:r>
        <w:rPr>
          <w:rFonts w:hint="eastAsia" w:ascii="宋体" w:hAnsi="宋体"/>
          <w:sz w:val="24"/>
        </w:rPr>
        <w:t>代理人无转委托权，特此委托</w:t>
      </w:r>
      <w:r>
        <w:rPr>
          <w:rFonts w:hint="eastAsia" w:ascii="宋体" w:hAnsi="宋体"/>
        </w:rPr>
        <w:t>。</w:t>
      </w:r>
    </w:p>
    <w:p>
      <w:pPr>
        <w:adjustRightInd w:val="0"/>
        <w:snapToGrid w:val="0"/>
        <w:spacing w:before="62" w:beforeLines="20" w:after="62" w:afterLines="20" w:line="540" w:lineRule="exact"/>
        <w:ind w:right="15" w:rightChars="7" w:firstLine="540" w:firstLineChars="225"/>
        <w:rPr>
          <w:rFonts w:ascii="宋体" w:hAnsi="宋体"/>
          <w:sz w:val="24"/>
        </w:rPr>
      </w:pPr>
    </w:p>
    <w:p>
      <w:pPr>
        <w:adjustRightInd w:val="0"/>
        <w:snapToGrid w:val="0"/>
        <w:spacing w:before="62" w:beforeLines="20" w:after="62" w:afterLines="20" w:line="540" w:lineRule="exact"/>
        <w:ind w:right="15" w:rightChars="7" w:firstLine="1200" w:firstLineChars="500"/>
        <w:rPr>
          <w:rFonts w:ascii="宋体" w:hAnsi="宋体"/>
          <w:sz w:val="24"/>
          <w:u w:val="single"/>
        </w:rPr>
      </w:pPr>
      <w:r>
        <w:rPr>
          <w:rFonts w:hint="eastAsia" w:ascii="宋体" w:hAnsi="宋体"/>
          <w:sz w:val="24"/>
        </w:rPr>
        <w:t>代</w:t>
      </w:r>
      <w:r>
        <w:rPr>
          <w:rFonts w:ascii="宋体" w:hAnsi="宋体"/>
          <w:sz w:val="24"/>
        </w:rPr>
        <w:t xml:space="preserve">  </w:t>
      </w:r>
      <w:r>
        <w:rPr>
          <w:rFonts w:hint="eastAsia" w:ascii="宋体" w:hAnsi="宋体"/>
          <w:sz w:val="24"/>
        </w:rPr>
        <w:t>理</w:t>
      </w:r>
      <w:r>
        <w:rPr>
          <w:rFonts w:ascii="宋体" w:hAnsi="宋体"/>
          <w:sz w:val="24"/>
        </w:rPr>
        <w:t xml:space="preserve">  </w:t>
      </w:r>
      <w:r>
        <w:rPr>
          <w:rFonts w:hint="eastAsia" w:ascii="宋体" w:hAnsi="宋体"/>
          <w:sz w:val="24"/>
        </w:rPr>
        <w:t>人：</w:t>
      </w:r>
      <w:r>
        <w:rPr>
          <w:rFonts w:hint="eastAsia" w:ascii="宋体" w:hAnsi="宋体"/>
          <w:sz w:val="24"/>
          <w:u w:val="single"/>
        </w:rPr>
        <w:t xml:space="preserve">       （签字）      </w:t>
      </w:r>
      <w:r>
        <w:rPr>
          <w:rFonts w:hint="eastAsia" w:ascii="宋体" w:hAnsi="宋体"/>
          <w:sz w:val="24"/>
        </w:rPr>
        <w:t>性别 ：</w:t>
      </w:r>
      <w:r>
        <w:rPr>
          <w:rFonts w:hint="eastAsia" w:ascii="宋体" w:hAnsi="宋体"/>
          <w:sz w:val="24"/>
          <w:u w:val="single"/>
        </w:rPr>
        <w:t xml:space="preserve">        </w:t>
      </w:r>
      <w:r>
        <w:rPr>
          <w:rFonts w:hint="eastAsia" w:ascii="宋体" w:hAnsi="宋体"/>
          <w:sz w:val="24"/>
        </w:rPr>
        <w:t>年龄：</w:t>
      </w:r>
      <w:r>
        <w:rPr>
          <w:rFonts w:hint="eastAsia" w:ascii="宋体" w:hAnsi="宋体"/>
          <w:sz w:val="24"/>
          <w:u w:val="single"/>
        </w:rPr>
        <w:t xml:space="preserve">       </w:t>
      </w:r>
    </w:p>
    <w:p>
      <w:pPr>
        <w:adjustRightInd w:val="0"/>
        <w:snapToGrid w:val="0"/>
        <w:spacing w:before="62" w:beforeLines="20" w:after="62" w:afterLines="20" w:line="540" w:lineRule="exact"/>
        <w:ind w:left="2699" w:right="15" w:rightChars="7"/>
        <w:rPr>
          <w:rFonts w:ascii="宋体" w:hAnsi="宋体"/>
          <w:sz w:val="24"/>
        </w:rPr>
      </w:pPr>
    </w:p>
    <w:p>
      <w:pPr>
        <w:adjustRightInd w:val="0"/>
        <w:snapToGrid w:val="0"/>
        <w:spacing w:before="62" w:beforeLines="20" w:after="62" w:afterLines="20" w:line="540" w:lineRule="exact"/>
        <w:ind w:left="1200" w:right="15" w:rightChars="7"/>
        <w:rPr>
          <w:rFonts w:ascii="宋体" w:hAnsi="宋体"/>
          <w:sz w:val="24"/>
          <w:u w:val="single"/>
        </w:rPr>
      </w:pPr>
      <w:r>
        <w:rPr>
          <w:rFonts w:hint="eastAsia" w:ascii="宋体" w:hAnsi="宋体"/>
          <w:sz w:val="24"/>
        </w:rPr>
        <w:t>身份证号码：</w:t>
      </w:r>
      <w:r>
        <w:rPr>
          <w:rFonts w:hint="eastAsia" w:ascii="宋体" w:hAnsi="宋体"/>
          <w:sz w:val="24"/>
          <w:u w:val="single"/>
        </w:rPr>
        <w:t xml:space="preserve">                     </w:t>
      </w:r>
      <w:r>
        <w:rPr>
          <w:rFonts w:hint="eastAsia" w:ascii="宋体" w:hAnsi="宋体"/>
          <w:sz w:val="24"/>
        </w:rPr>
        <w:t>职务：</w:t>
      </w:r>
      <w:r>
        <w:rPr>
          <w:rFonts w:hint="eastAsia" w:ascii="宋体" w:hAnsi="宋体"/>
          <w:sz w:val="24"/>
          <w:u w:val="single"/>
        </w:rPr>
        <w:t xml:space="preserve">                      </w:t>
      </w:r>
    </w:p>
    <w:p>
      <w:pPr>
        <w:adjustRightInd w:val="0"/>
        <w:snapToGrid w:val="0"/>
        <w:spacing w:before="62" w:beforeLines="20" w:after="62" w:afterLines="20" w:line="540" w:lineRule="exact"/>
        <w:ind w:left="2699" w:right="15" w:rightChars="7"/>
        <w:rPr>
          <w:rFonts w:ascii="宋体" w:hAnsi="宋体"/>
          <w:sz w:val="24"/>
        </w:rPr>
      </w:pPr>
    </w:p>
    <w:p>
      <w:pPr>
        <w:adjustRightInd w:val="0"/>
        <w:snapToGrid w:val="0"/>
        <w:spacing w:before="62" w:beforeLines="20" w:after="62" w:afterLines="20" w:line="540" w:lineRule="exact"/>
        <w:ind w:left="1200" w:right="15" w:rightChars="7"/>
        <w:rPr>
          <w:rFonts w:ascii="宋体" w:hAnsi="宋体"/>
          <w:sz w:val="24"/>
        </w:rPr>
      </w:pPr>
      <w:r>
        <w:rPr>
          <w:rFonts w:hint="eastAsia" w:ascii="宋体" w:hAnsi="宋体"/>
          <w:sz w:val="24"/>
        </w:rPr>
        <w:t>投</w:t>
      </w:r>
      <w:r>
        <w:rPr>
          <w:rFonts w:ascii="宋体" w:hAnsi="宋体"/>
          <w:sz w:val="24"/>
        </w:rPr>
        <w:t xml:space="preserve">  </w:t>
      </w:r>
      <w:r>
        <w:rPr>
          <w:rFonts w:hint="eastAsia" w:ascii="宋体" w:hAnsi="宋体"/>
          <w:sz w:val="24"/>
        </w:rPr>
        <w:t>标</w:t>
      </w:r>
      <w:r>
        <w:rPr>
          <w:rFonts w:ascii="宋体" w:hAnsi="宋体"/>
          <w:sz w:val="24"/>
        </w:rPr>
        <w:t xml:space="preserve">  </w:t>
      </w:r>
      <w:r>
        <w:rPr>
          <w:rFonts w:hint="eastAsia" w:ascii="宋体" w:hAnsi="宋体"/>
          <w:sz w:val="24"/>
        </w:rPr>
        <w:t>人：</w:t>
      </w:r>
      <w:r>
        <w:rPr>
          <w:rFonts w:ascii="宋体" w:hAnsi="宋体"/>
          <w:sz w:val="24"/>
          <w:u w:val="single"/>
        </w:rPr>
        <w:t xml:space="preserve"> </w:t>
      </w:r>
      <w:r>
        <w:rPr>
          <w:rFonts w:hint="eastAsia" w:ascii="宋体" w:hAnsi="宋体"/>
          <w:sz w:val="24"/>
          <w:u w:val="single"/>
        </w:rPr>
        <w:t xml:space="preserve">                                        （盖章）</w:t>
      </w:r>
    </w:p>
    <w:p>
      <w:pPr>
        <w:adjustRightInd w:val="0"/>
        <w:snapToGrid w:val="0"/>
        <w:spacing w:before="62" w:beforeLines="20" w:after="62" w:afterLines="20" w:line="540" w:lineRule="exact"/>
        <w:ind w:left="2699" w:right="15" w:rightChars="7"/>
        <w:rPr>
          <w:rFonts w:ascii="宋体" w:hAnsi="宋体"/>
          <w:sz w:val="24"/>
        </w:rPr>
      </w:pPr>
    </w:p>
    <w:p>
      <w:pPr>
        <w:adjustRightInd w:val="0"/>
        <w:snapToGrid w:val="0"/>
        <w:spacing w:before="62" w:beforeLines="20" w:after="62" w:afterLines="20" w:line="540" w:lineRule="exact"/>
        <w:ind w:left="1200" w:right="15" w:rightChars="7"/>
        <w:rPr>
          <w:rFonts w:ascii="宋体" w:hAnsi="宋体"/>
          <w:sz w:val="24"/>
        </w:rPr>
      </w:pPr>
      <w:r>
        <w:rPr>
          <w:rFonts w:hint="eastAsia" w:ascii="宋体" w:hAnsi="宋体"/>
          <w:sz w:val="24"/>
        </w:rPr>
        <w:t>法定代表人：</w:t>
      </w:r>
      <w:r>
        <w:rPr>
          <w:rFonts w:hint="eastAsia" w:ascii="宋体" w:hAnsi="宋体"/>
          <w:sz w:val="24"/>
          <w:u w:val="single"/>
        </w:rPr>
        <w:t xml:space="preserve">                                   （签字或盖章）</w:t>
      </w:r>
    </w:p>
    <w:p>
      <w:pPr>
        <w:adjustRightInd w:val="0"/>
        <w:snapToGrid w:val="0"/>
        <w:spacing w:before="62" w:beforeLines="20" w:after="62" w:afterLines="20" w:line="540" w:lineRule="exact"/>
        <w:ind w:left="2699" w:right="15" w:rightChars="7"/>
        <w:rPr>
          <w:rFonts w:ascii="宋体" w:hAnsi="宋体"/>
          <w:sz w:val="24"/>
        </w:rPr>
      </w:pPr>
    </w:p>
    <w:p>
      <w:pPr>
        <w:adjustRightInd w:val="0"/>
        <w:snapToGrid w:val="0"/>
        <w:spacing w:before="62" w:beforeLines="20" w:after="62" w:afterLines="20" w:line="540" w:lineRule="exact"/>
        <w:ind w:left="2833" w:leftChars="1349" w:right="15" w:rightChars="7" w:firstLine="2400" w:firstLineChars="1000"/>
        <w:rPr>
          <w:rFonts w:ascii="宋体" w:hAnsi="宋体"/>
          <w:sz w:val="24"/>
        </w:rPr>
      </w:pPr>
    </w:p>
    <w:p>
      <w:pPr>
        <w:adjustRightInd w:val="0"/>
        <w:snapToGrid w:val="0"/>
        <w:spacing w:before="62" w:beforeLines="20" w:after="62" w:afterLines="20" w:line="540" w:lineRule="exact"/>
        <w:ind w:left="2833" w:leftChars="1349" w:right="15" w:rightChars="7" w:firstLine="2400" w:firstLineChars="1000"/>
        <w:rPr>
          <w:rFonts w:ascii="宋体" w:hAnsi="宋体"/>
          <w:sz w:val="24"/>
        </w:rPr>
      </w:pPr>
    </w:p>
    <w:p>
      <w:pPr>
        <w:adjustRightInd w:val="0"/>
        <w:snapToGrid w:val="0"/>
        <w:spacing w:before="62" w:beforeLines="20" w:after="62" w:afterLines="20" w:line="540" w:lineRule="exact"/>
        <w:ind w:left="2833" w:leftChars="1349" w:right="15" w:rightChars="7" w:firstLine="2400" w:firstLineChars="1000"/>
        <w:rPr>
          <w:rFonts w:ascii="宋体" w:hAnsi="宋体"/>
          <w:sz w:val="24"/>
        </w:rPr>
      </w:pPr>
    </w:p>
    <w:p>
      <w:pPr>
        <w:pStyle w:val="4"/>
        <w:numPr>
          <w:ilvl w:val="0"/>
          <w:numId w:val="0"/>
        </w:numPr>
        <w:adjustRightInd w:val="0"/>
        <w:snapToGrid w:val="0"/>
        <w:spacing w:before="62" w:beforeLines="20" w:after="62" w:afterLines="20" w:line="540" w:lineRule="exact"/>
        <w:ind w:right="15" w:rightChars="7"/>
        <w:jc w:val="right"/>
        <w:rPr>
          <w:rFonts w:ascii="宋体" w:hAnsi="宋体"/>
          <w:b w:val="0"/>
        </w:rPr>
      </w:pPr>
      <w:r>
        <w:rPr>
          <w:rFonts w:hint="eastAsia" w:ascii="宋体" w:hAnsi="宋体"/>
          <w:b w:val="0"/>
          <w:sz w:val="24"/>
        </w:rPr>
        <w:t>授权委托日期：</w:t>
      </w:r>
      <w:r>
        <w:rPr>
          <w:rFonts w:hint="eastAsia" w:ascii="宋体" w:hAnsi="宋体"/>
          <w:b w:val="0"/>
          <w:sz w:val="24"/>
          <w:u w:val="single"/>
        </w:rPr>
        <w:t xml:space="preserve">         </w:t>
      </w:r>
      <w:r>
        <w:rPr>
          <w:rFonts w:hint="eastAsia" w:ascii="宋体" w:hAnsi="宋体"/>
          <w:b w:val="0"/>
          <w:sz w:val="24"/>
        </w:rPr>
        <w:t xml:space="preserve">年 </w:t>
      </w:r>
      <w:r>
        <w:rPr>
          <w:rFonts w:hint="eastAsia" w:ascii="宋体" w:hAnsi="宋体"/>
          <w:b w:val="0"/>
          <w:sz w:val="24"/>
          <w:u w:val="single"/>
        </w:rPr>
        <w:t xml:space="preserve">    </w:t>
      </w:r>
      <w:r>
        <w:rPr>
          <w:rFonts w:hint="eastAsia" w:ascii="宋体" w:hAnsi="宋体"/>
          <w:b w:val="0"/>
          <w:sz w:val="24"/>
        </w:rPr>
        <w:t>月</w:t>
      </w:r>
      <w:r>
        <w:rPr>
          <w:rFonts w:hint="eastAsia" w:ascii="宋体" w:hAnsi="宋体"/>
          <w:b w:val="0"/>
          <w:sz w:val="24"/>
          <w:u w:val="single"/>
        </w:rPr>
        <w:t xml:space="preserve">     </w:t>
      </w:r>
      <w:r>
        <w:rPr>
          <w:rFonts w:hint="eastAsia" w:ascii="宋体" w:hAnsi="宋体"/>
          <w:b w:val="0"/>
          <w:sz w:val="24"/>
        </w:rPr>
        <w:t>日</w:t>
      </w:r>
    </w:p>
    <w:p>
      <w:pPr>
        <w:adjustRightInd w:val="0"/>
        <w:snapToGrid w:val="0"/>
        <w:spacing w:before="62" w:beforeLines="20" w:after="62" w:afterLines="20" w:line="540" w:lineRule="exact"/>
        <w:ind w:right="15" w:rightChars="7"/>
        <w:rPr>
          <w:rFonts w:ascii="宋体" w:hAnsi="宋体"/>
          <w:bCs/>
          <w:sz w:val="28"/>
          <w:szCs w:val="28"/>
        </w:rPr>
        <w:sectPr>
          <w:pgSz w:w="11906" w:h="16838"/>
          <w:pgMar w:top="1134" w:right="1134" w:bottom="1134" w:left="1134" w:header="567" w:footer="567" w:gutter="0"/>
          <w:pgNumType w:start="1" w:chapStyle="1" w:chapSep="emDash"/>
          <w:cols w:space="425" w:num="1"/>
          <w:titlePg/>
          <w:docGrid w:type="lines" w:linePitch="312" w:charSpace="0"/>
        </w:sectPr>
      </w:pPr>
    </w:p>
    <w:p>
      <w:pPr>
        <w:adjustRightInd w:val="0"/>
        <w:snapToGrid w:val="0"/>
        <w:spacing w:before="62" w:beforeLines="20" w:after="62" w:afterLines="20" w:line="540" w:lineRule="exact"/>
        <w:ind w:right="15" w:rightChars="7"/>
        <w:rPr>
          <w:rFonts w:ascii="宋体" w:hAnsi="宋体"/>
          <w:bCs/>
          <w:sz w:val="28"/>
          <w:szCs w:val="28"/>
        </w:rPr>
      </w:pPr>
    </w:p>
    <w:p>
      <w:pPr>
        <w:adjustRightInd w:val="0"/>
        <w:snapToGrid w:val="0"/>
        <w:spacing w:line="540" w:lineRule="exact"/>
        <w:ind w:right="15" w:rightChars="7"/>
        <w:rPr>
          <w:rFonts w:ascii="宋体" w:hAnsi="宋体"/>
          <w:bCs/>
          <w:sz w:val="28"/>
          <w:szCs w:val="28"/>
        </w:rPr>
      </w:pPr>
      <w:r>
        <w:rPr>
          <w:rFonts w:hint="eastAsia" w:ascii="宋体" w:hAnsi="宋体"/>
          <w:bCs/>
          <w:sz w:val="28"/>
          <w:szCs w:val="28"/>
        </w:rPr>
        <w:t>附件二</w:t>
      </w:r>
    </w:p>
    <w:p>
      <w:pPr>
        <w:pStyle w:val="4"/>
        <w:numPr>
          <w:ilvl w:val="0"/>
          <w:numId w:val="0"/>
        </w:numPr>
        <w:adjustRightInd w:val="0"/>
        <w:snapToGrid w:val="0"/>
        <w:spacing w:before="156" w:beforeLines="50" w:after="156" w:afterLines="50" w:line="540" w:lineRule="exact"/>
        <w:ind w:right="15" w:rightChars="7"/>
        <w:jc w:val="center"/>
        <w:rPr>
          <w:rFonts w:ascii="宋体" w:hAnsi="宋体"/>
        </w:rPr>
      </w:pPr>
      <w:bookmarkStart w:id="17" w:name="_Toc17197761"/>
      <w:r>
        <w:rPr>
          <w:rFonts w:hint="eastAsia" w:ascii="宋体" w:hAnsi="宋体"/>
        </w:rPr>
        <w:t>投 标 函</w:t>
      </w:r>
      <w:bookmarkEnd w:id="17"/>
    </w:p>
    <w:p>
      <w:pPr>
        <w:adjustRightInd w:val="0"/>
        <w:snapToGrid w:val="0"/>
        <w:spacing w:line="500" w:lineRule="exact"/>
        <w:ind w:right="15" w:rightChars="7"/>
        <w:rPr>
          <w:rFonts w:ascii="宋体" w:hAnsi="宋体"/>
          <w:sz w:val="24"/>
          <w:u w:val="single"/>
        </w:rPr>
      </w:pPr>
      <w:r>
        <w:rPr>
          <w:rFonts w:hint="eastAsia" w:ascii="宋体" w:hAnsi="宋体"/>
          <w:sz w:val="24"/>
        </w:rPr>
        <w:t>致：</w:t>
      </w:r>
      <w:r>
        <w:rPr>
          <w:rFonts w:ascii="宋体" w:hAnsi="宋体"/>
          <w:sz w:val="24"/>
          <w:u w:val="single"/>
        </w:rPr>
        <w:t xml:space="preserve">   {招标人名称}   </w:t>
      </w:r>
    </w:p>
    <w:p>
      <w:pPr>
        <w:tabs>
          <w:tab w:val="left" w:pos="7560"/>
        </w:tabs>
        <w:adjustRightInd w:val="0"/>
        <w:snapToGrid w:val="0"/>
        <w:spacing w:line="500" w:lineRule="exact"/>
        <w:ind w:right="15" w:rightChars="7" w:firstLine="480"/>
        <w:jc w:val="left"/>
        <w:rPr>
          <w:sz w:val="24"/>
        </w:rPr>
      </w:pPr>
      <w:r>
        <w:rPr>
          <w:sz w:val="24"/>
        </w:rPr>
        <w:t>1、</w:t>
      </w:r>
      <w:r>
        <w:rPr>
          <w:spacing w:val="4"/>
          <w:sz w:val="24"/>
        </w:rPr>
        <w:t>根据你方招标项目编号为</w:t>
      </w:r>
      <w:r>
        <w:rPr>
          <w:spacing w:val="4"/>
          <w:sz w:val="24"/>
          <w:u w:val="single"/>
        </w:rPr>
        <w:t xml:space="preserve">  {项目编号}  </w:t>
      </w:r>
      <w:r>
        <w:rPr>
          <w:rFonts w:hint="eastAsia"/>
          <w:spacing w:val="4"/>
          <w:sz w:val="24"/>
        </w:rPr>
        <w:t>的</w:t>
      </w:r>
      <w:r>
        <w:rPr>
          <w:spacing w:val="4"/>
          <w:sz w:val="24"/>
          <w:u w:val="single"/>
        </w:rPr>
        <w:t xml:space="preserve">  {招标项目名称}  </w:t>
      </w:r>
      <w:r>
        <w:rPr>
          <w:rFonts w:hint="eastAsia"/>
          <w:spacing w:val="4"/>
          <w:sz w:val="24"/>
        </w:rPr>
        <w:t>招标文件，遵照《中华人民共和国招标投标法》等有关规定，经我公司研究上述招标文件的投标须知、合同条款和工程建设技术标准及其他有关文件后，我方愿以</w:t>
      </w:r>
      <w:r>
        <w:rPr>
          <w:rFonts w:hint="eastAsia"/>
          <w:sz w:val="24"/>
          <w:u w:val="single"/>
        </w:rPr>
        <w:t>　            　　　　　　　　   　　　　</w:t>
      </w:r>
      <w:r>
        <w:rPr>
          <w:rFonts w:hint="eastAsia"/>
          <w:sz w:val="24"/>
        </w:rPr>
        <w:t>元（小写：</w:t>
      </w:r>
      <w:r>
        <w:rPr>
          <w:rFonts w:hint="eastAsia"/>
          <w:sz w:val="24"/>
          <w:u w:val="single"/>
        </w:rPr>
        <w:t>　　   　　</w:t>
      </w:r>
      <w:r>
        <w:rPr>
          <w:rFonts w:hint="eastAsia"/>
          <w:sz w:val="24"/>
        </w:rPr>
        <w:t>元）的投标总报价，</w:t>
      </w:r>
      <w:r>
        <w:rPr>
          <w:rFonts w:hint="eastAsia"/>
          <w:bCs/>
          <w:sz w:val="24"/>
        </w:rPr>
        <w:t>并承诺按本招标文件、合同条款</w:t>
      </w:r>
      <w:r>
        <w:rPr>
          <w:rFonts w:hint="eastAsia"/>
          <w:sz w:val="24"/>
        </w:rPr>
        <w:t>承担</w:t>
      </w:r>
      <w:r>
        <w:rPr>
          <w:rFonts w:hint="eastAsia"/>
          <w:bCs/>
          <w:sz w:val="24"/>
        </w:rPr>
        <w:t>上述项目的检测及服务。</w:t>
      </w:r>
    </w:p>
    <w:p>
      <w:pPr>
        <w:pStyle w:val="15"/>
        <w:adjustRightInd w:val="0"/>
        <w:snapToGrid w:val="0"/>
        <w:spacing w:after="0" w:line="500" w:lineRule="exact"/>
        <w:ind w:left="0" w:leftChars="0" w:right="15" w:rightChars="7" w:firstLine="420" w:firstLineChars="175"/>
        <w:rPr>
          <w:rFonts w:ascii="宋体" w:hAnsi="宋体"/>
          <w:sz w:val="24"/>
        </w:rPr>
      </w:pPr>
      <w:r>
        <w:rPr>
          <w:rFonts w:ascii="宋体" w:hAnsi="宋体"/>
          <w:sz w:val="24"/>
        </w:rPr>
        <w:t>2、我方已详细审核并确认全部招标文件及有关附件</w:t>
      </w:r>
      <w:r>
        <w:rPr>
          <w:rFonts w:hint="eastAsia" w:ascii="宋体" w:hAnsi="宋体"/>
          <w:sz w:val="24"/>
        </w:rPr>
        <w:t>，充分理解投标价格不得低于企业个别成本有关规定。我方经成本核算，所填报的投标报价不低于企业个别成本</w:t>
      </w:r>
      <w:r>
        <w:rPr>
          <w:rFonts w:ascii="宋体" w:hAnsi="宋体"/>
          <w:sz w:val="24"/>
        </w:rPr>
        <w:t>。</w:t>
      </w:r>
    </w:p>
    <w:p>
      <w:pPr>
        <w:pStyle w:val="15"/>
        <w:adjustRightInd w:val="0"/>
        <w:snapToGrid w:val="0"/>
        <w:spacing w:after="0" w:line="500" w:lineRule="exact"/>
        <w:ind w:left="0" w:leftChars="0" w:right="15" w:rightChars="7" w:firstLine="420" w:firstLineChars="175"/>
        <w:rPr>
          <w:rFonts w:ascii="宋体" w:hAnsi="宋体"/>
          <w:sz w:val="24"/>
        </w:rPr>
      </w:pPr>
      <w:r>
        <w:rPr>
          <w:rFonts w:hint="eastAsia" w:ascii="宋体" w:hAnsi="宋体"/>
          <w:sz w:val="24"/>
        </w:rPr>
        <w:t>3</w:t>
      </w:r>
      <w:r>
        <w:rPr>
          <w:rFonts w:ascii="宋体" w:hAnsi="宋体"/>
          <w:sz w:val="24"/>
        </w:rPr>
        <w:t>、一旦我方中标，我方保证按</w:t>
      </w:r>
      <w:r>
        <w:rPr>
          <w:rFonts w:hint="eastAsia"/>
          <w:sz w:val="24"/>
        </w:rPr>
        <w:t>招标人的</w:t>
      </w:r>
      <w:r>
        <w:rPr>
          <w:rFonts w:hint="eastAsia" w:ascii="宋体" w:hAnsi="宋体"/>
          <w:sz w:val="24"/>
        </w:rPr>
        <w:t>要求如期开工、竣工。</w:t>
      </w:r>
    </w:p>
    <w:p>
      <w:pPr>
        <w:pStyle w:val="15"/>
        <w:adjustRightInd w:val="0"/>
        <w:snapToGrid w:val="0"/>
        <w:spacing w:after="0" w:line="500" w:lineRule="exact"/>
        <w:ind w:left="0" w:leftChars="0" w:right="15" w:rightChars="7" w:firstLine="420" w:firstLineChars="175"/>
        <w:rPr>
          <w:rFonts w:ascii="宋体" w:hAnsi="宋体"/>
          <w:sz w:val="24"/>
        </w:rPr>
      </w:pPr>
      <w:r>
        <w:rPr>
          <w:rFonts w:hint="eastAsia" w:ascii="宋体" w:hAnsi="宋体"/>
          <w:sz w:val="24"/>
        </w:rPr>
        <w:t>4</w:t>
      </w:r>
      <w:r>
        <w:rPr>
          <w:rFonts w:ascii="宋体" w:hAnsi="宋体"/>
          <w:sz w:val="24"/>
        </w:rPr>
        <w:t>、一旦我方中标，我方保证</w:t>
      </w:r>
      <w:r>
        <w:rPr>
          <w:rFonts w:hint="eastAsia" w:ascii="宋体" w:hAnsi="宋体"/>
          <w:sz w:val="24"/>
        </w:rPr>
        <w:t>按照招标要求完成项目内容。</w:t>
      </w:r>
    </w:p>
    <w:p>
      <w:pPr>
        <w:pStyle w:val="15"/>
        <w:adjustRightInd w:val="0"/>
        <w:snapToGrid w:val="0"/>
        <w:spacing w:after="0" w:line="500" w:lineRule="exact"/>
        <w:ind w:left="0" w:leftChars="0" w:right="15" w:rightChars="7" w:firstLine="420" w:firstLineChars="175"/>
        <w:rPr>
          <w:rFonts w:ascii="宋体" w:hAnsi="宋体"/>
          <w:sz w:val="24"/>
        </w:rPr>
      </w:pPr>
      <w:r>
        <w:rPr>
          <w:rFonts w:hint="eastAsia" w:ascii="宋体" w:hAnsi="宋体"/>
          <w:sz w:val="24"/>
        </w:rPr>
        <w:t>5</w:t>
      </w:r>
      <w:r>
        <w:rPr>
          <w:rFonts w:ascii="宋体" w:hAnsi="宋体"/>
          <w:sz w:val="24"/>
        </w:rPr>
        <w:t>、除非另外达成协议并生效，你方的中标通知书和本投标文件</w:t>
      </w:r>
      <w:r>
        <w:rPr>
          <w:rFonts w:hint="eastAsia" w:ascii="宋体" w:hAnsi="宋体"/>
          <w:sz w:val="24"/>
        </w:rPr>
        <w:t>以及招标文件、招标文件澄清、修改通知、补充文件</w:t>
      </w:r>
      <w:r>
        <w:rPr>
          <w:rFonts w:ascii="宋体" w:hAnsi="宋体"/>
          <w:sz w:val="24"/>
        </w:rPr>
        <w:t>将成为</w:t>
      </w:r>
      <w:r>
        <w:rPr>
          <w:rFonts w:hint="eastAsia" w:ascii="宋体" w:hAnsi="宋体"/>
          <w:sz w:val="24"/>
        </w:rPr>
        <w:t>约束双方的合同文件的组成部分。</w:t>
      </w:r>
    </w:p>
    <w:p>
      <w:pPr>
        <w:pStyle w:val="15"/>
        <w:adjustRightInd w:val="0"/>
        <w:snapToGrid w:val="0"/>
        <w:spacing w:after="0" w:line="500" w:lineRule="exact"/>
        <w:ind w:left="0" w:leftChars="0" w:right="15" w:rightChars="7" w:firstLine="420" w:firstLineChars="175"/>
        <w:rPr>
          <w:rFonts w:ascii="宋体" w:hAnsi="宋体"/>
          <w:sz w:val="24"/>
        </w:rPr>
      </w:pPr>
      <w:r>
        <w:rPr>
          <w:rFonts w:hint="eastAsia" w:ascii="宋体" w:hAnsi="宋体"/>
          <w:sz w:val="24"/>
        </w:rPr>
        <w:t>6</w:t>
      </w:r>
      <w:r>
        <w:rPr>
          <w:rFonts w:ascii="宋体" w:hAnsi="宋体"/>
          <w:sz w:val="24"/>
        </w:rPr>
        <w:t xml:space="preserve">、我方将与本投标函一起，提交人民币 </w:t>
      </w:r>
      <w:r>
        <w:rPr>
          <w:rFonts w:ascii="宋体" w:hAnsi="宋体"/>
          <w:sz w:val="24"/>
          <w:u w:val="single"/>
        </w:rPr>
        <w:t xml:space="preserve">         </w:t>
      </w:r>
      <w:r>
        <w:rPr>
          <w:rFonts w:hint="eastAsia" w:ascii="宋体" w:hAnsi="宋体"/>
          <w:sz w:val="24"/>
          <w:u w:val="single"/>
        </w:rPr>
        <w:t>元</w:t>
      </w:r>
      <w:r>
        <w:rPr>
          <w:rFonts w:hint="eastAsia" w:ascii="宋体" w:hAnsi="宋体"/>
          <w:sz w:val="24"/>
        </w:rPr>
        <w:t>作为投标保证金。</w:t>
      </w:r>
      <w:r>
        <w:rPr>
          <w:rFonts w:ascii="宋体" w:hAnsi="宋体"/>
          <w:sz w:val="24"/>
        </w:rPr>
        <w:t xml:space="preserve"> </w:t>
      </w:r>
    </w:p>
    <w:p>
      <w:pPr>
        <w:pStyle w:val="15"/>
        <w:adjustRightInd w:val="0"/>
        <w:snapToGrid w:val="0"/>
        <w:spacing w:after="0" w:line="500" w:lineRule="exact"/>
        <w:ind w:left="0" w:leftChars="0" w:right="15" w:rightChars="7" w:firstLine="420" w:firstLineChars="175"/>
        <w:rPr>
          <w:rFonts w:ascii="宋体" w:hAnsi="宋体"/>
          <w:sz w:val="24"/>
        </w:rPr>
      </w:pPr>
      <w:r>
        <w:rPr>
          <w:rFonts w:hint="eastAsia" w:ascii="宋体" w:hAnsi="宋体"/>
          <w:sz w:val="24"/>
        </w:rPr>
        <w:t>7、其他补充说明：</w:t>
      </w:r>
      <w:r>
        <w:rPr>
          <w:rFonts w:hint="eastAsia" w:ascii="宋体" w:hAnsi="宋体"/>
          <w:sz w:val="24"/>
          <w:u w:val="single"/>
        </w:rPr>
        <w:t xml:space="preserve">             {补充说明事项}         </w:t>
      </w:r>
    </w:p>
    <w:p>
      <w:pPr>
        <w:adjustRightInd w:val="0"/>
        <w:snapToGrid w:val="0"/>
        <w:spacing w:line="480" w:lineRule="exact"/>
        <w:ind w:right="15" w:rightChars="7"/>
        <w:rPr>
          <w:rFonts w:ascii="宋体" w:hAnsi="宋体"/>
          <w:sz w:val="24"/>
        </w:rPr>
      </w:pPr>
    </w:p>
    <w:p>
      <w:pPr>
        <w:adjustRightInd w:val="0"/>
        <w:snapToGrid w:val="0"/>
        <w:spacing w:line="580" w:lineRule="exact"/>
        <w:ind w:right="15" w:rightChars="7"/>
        <w:rPr>
          <w:rFonts w:ascii="宋体" w:hAnsi="宋体"/>
          <w:sz w:val="24"/>
          <w:u w:val="single"/>
        </w:rPr>
      </w:pPr>
      <w:r>
        <w:rPr>
          <w:rFonts w:hint="eastAsia" w:ascii="宋体" w:hAnsi="宋体"/>
          <w:sz w:val="24"/>
        </w:rPr>
        <w:t>投</w:t>
      </w:r>
      <w:r>
        <w:rPr>
          <w:rFonts w:ascii="宋体" w:hAnsi="宋体"/>
          <w:sz w:val="24"/>
        </w:rPr>
        <w:t xml:space="preserve"> 标 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名称</w:t>
      </w:r>
      <w:r>
        <w:rPr>
          <w:rFonts w:ascii="宋体" w:hAnsi="宋体"/>
          <w:sz w:val="24"/>
          <w:u w:val="single"/>
        </w:rPr>
        <w:t xml:space="preserve">   （盖章）  </w:t>
      </w:r>
      <w:r>
        <w:rPr>
          <w:rFonts w:ascii="宋体" w:hAnsi="宋体"/>
          <w:sz w:val="24"/>
          <w:u w:val="single"/>
        </w:rPr>
        <w:tab/>
      </w:r>
      <w:r>
        <w:rPr>
          <w:rFonts w:ascii="宋体" w:hAnsi="宋体"/>
          <w:sz w:val="24"/>
          <w:u w:val="single"/>
        </w:rPr>
        <w:tab/>
      </w:r>
      <w:r>
        <w:rPr>
          <w:rFonts w:ascii="宋体" w:hAnsi="宋体"/>
          <w:sz w:val="24"/>
          <w:u w:val="single"/>
        </w:rPr>
        <w:tab/>
      </w:r>
      <w:r>
        <w:rPr>
          <w:rFonts w:hint="eastAsia" w:ascii="宋体" w:hAnsi="宋体"/>
          <w:sz w:val="24"/>
          <w:u w:val="single"/>
        </w:rPr>
        <w:t xml:space="preserve">   </w:t>
      </w:r>
      <w:r>
        <w:rPr>
          <w:rFonts w:ascii="宋体" w:hAnsi="宋体"/>
          <w:sz w:val="24"/>
          <w:u w:val="single"/>
        </w:rPr>
        <w:tab/>
      </w:r>
      <w:r>
        <w:rPr>
          <w:rFonts w:ascii="宋体" w:hAnsi="宋体"/>
          <w:sz w:val="24"/>
          <w:u w:val="single"/>
        </w:rPr>
        <w:tab/>
      </w:r>
      <w:r>
        <w:rPr>
          <w:rFonts w:ascii="宋体" w:hAnsi="宋体"/>
          <w:sz w:val="24"/>
          <w:u w:val="single"/>
        </w:rPr>
        <w:tab/>
      </w:r>
    </w:p>
    <w:p>
      <w:pPr>
        <w:pStyle w:val="16"/>
        <w:adjustRightInd w:val="0"/>
        <w:snapToGrid w:val="0"/>
        <w:spacing w:line="580" w:lineRule="exact"/>
        <w:ind w:left="121" w:leftChars="11" w:right="15" w:rightChars="7" w:hanging="98" w:hangingChars="41"/>
        <w:rPr>
          <w:rFonts w:ascii="宋体" w:hAnsi="宋体"/>
          <w:u w:val="single"/>
        </w:rPr>
      </w:pPr>
      <w:r>
        <w:rPr>
          <w:rFonts w:hint="eastAsia" w:ascii="宋体" w:hAnsi="宋体"/>
          <w:sz w:val="24"/>
        </w:rPr>
        <w:t>单位地址：</w:t>
      </w:r>
      <w:r>
        <w:rPr>
          <w:rFonts w:ascii="宋体" w:hAnsi="宋体"/>
          <w:sz w:val="24"/>
          <w:u w:val="single"/>
        </w:rPr>
        <w:tab/>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adjustRightInd w:val="0"/>
        <w:snapToGrid w:val="0"/>
        <w:spacing w:line="580" w:lineRule="exact"/>
        <w:ind w:right="15" w:rightChars="7"/>
        <w:rPr>
          <w:rFonts w:ascii="宋体" w:hAnsi="宋体"/>
          <w:sz w:val="24"/>
          <w:u w:val="single"/>
        </w:rPr>
      </w:pPr>
      <w:r>
        <w:rPr>
          <w:rFonts w:hint="eastAsia" w:ascii="宋体" w:hAnsi="宋体"/>
          <w:sz w:val="24"/>
        </w:rPr>
        <w:t>法定代表人或其委托代理人：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（盖章）</w:t>
      </w:r>
      <w:r>
        <w:rPr>
          <w:rFonts w:hint="eastAsia" w:ascii="宋体" w:hAnsi="宋体"/>
          <w:sz w:val="24"/>
          <w:u w:val="single"/>
        </w:rPr>
        <w:t xml:space="preserve">                 </w:t>
      </w:r>
      <w:r>
        <w:rPr>
          <w:rFonts w:ascii="宋体" w:hAnsi="宋体"/>
          <w:sz w:val="24"/>
          <w:u w:val="single"/>
        </w:rPr>
        <w:t xml:space="preserve">  </w:t>
      </w:r>
    </w:p>
    <w:p>
      <w:pPr>
        <w:adjustRightInd w:val="0"/>
        <w:snapToGrid w:val="0"/>
        <w:spacing w:line="580" w:lineRule="exact"/>
        <w:ind w:right="15" w:rightChars="7"/>
        <w:rPr>
          <w:rFonts w:ascii="宋体" w:hAnsi="宋体"/>
          <w:sz w:val="24"/>
        </w:rPr>
      </w:pPr>
      <w:r>
        <w:rPr>
          <w:rFonts w:hint="eastAsia" w:ascii="宋体" w:hAnsi="宋体"/>
          <w:sz w:val="24"/>
        </w:rPr>
        <w:t>邮政编码：</w:t>
      </w:r>
      <w:r>
        <w:rPr>
          <w:rFonts w:ascii="宋体" w:hAnsi="宋体"/>
          <w:sz w:val="24"/>
          <w:u w:val="single"/>
        </w:rPr>
        <w:tab/>
      </w:r>
      <w:r>
        <w:rPr>
          <w:rFonts w:ascii="宋体" w:hAnsi="宋体"/>
          <w:sz w:val="24"/>
          <w:u w:val="single"/>
        </w:rPr>
        <w:tab/>
      </w:r>
      <w:r>
        <w:rPr>
          <w:rFonts w:hint="eastAsia" w:ascii="宋体" w:hAnsi="宋体"/>
          <w:sz w:val="24"/>
          <w:u w:val="single"/>
        </w:rPr>
        <w:t xml:space="preserve">            </w:t>
      </w:r>
      <w:r>
        <w:rPr>
          <w:rFonts w:hint="eastAsia" w:ascii="宋体" w:hAnsi="宋体"/>
          <w:sz w:val="24"/>
        </w:rPr>
        <w:t>电话：</w:t>
      </w:r>
      <w:r>
        <w:rPr>
          <w:rFonts w:ascii="宋体" w:hAnsi="宋体"/>
          <w:sz w:val="24"/>
          <w:u w:val="single"/>
        </w:rPr>
        <w:tab/>
      </w:r>
      <w:r>
        <w:rPr>
          <w:rFonts w:ascii="宋体" w:hAnsi="宋体"/>
          <w:sz w:val="24"/>
          <w:u w:val="single"/>
        </w:rPr>
        <w:tab/>
      </w:r>
      <w:r>
        <w:rPr>
          <w:rFonts w:hint="eastAsia" w:ascii="宋体" w:hAnsi="宋体"/>
          <w:sz w:val="24"/>
          <w:u w:val="single"/>
        </w:rPr>
        <w:t xml:space="preserve">       </w:t>
      </w:r>
      <w:r>
        <w:rPr>
          <w:rFonts w:ascii="宋体" w:hAnsi="宋体"/>
          <w:sz w:val="24"/>
        </w:rPr>
        <w:t xml:space="preserve"> 传真：</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p>
    <w:p>
      <w:pPr>
        <w:adjustRightInd w:val="0"/>
        <w:snapToGrid w:val="0"/>
        <w:spacing w:line="580" w:lineRule="exact"/>
        <w:ind w:right="15" w:rightChars="7"/>
        <w:rPr>
          <w:rFonts w:ascii="宋体" w:hAnsi="宋体"/>
          <w:sz w:val="24"/>
        </w:rPr>
      </w:pPr>
      <w:r>
        <w:rPr>
          <w:rFonts w:hint="eastAsia" w:ascii="宋体" w:hAnsi="宋体"/>
          <w:sz w:val="24"/>
        </w:rPr>
        <w:t>开户银行名称：</w:t>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ab/>
      </w:r>
      <w:r>
        <w:rPr>
          <w:rFonts w:hint="eastAsia" w:ascii="宋体" w:hAnsi="宋体"/>
          <w:sz w:val="24"/>
          <w:u w:val="single"/>
        </w:rPr>
        <w:t xml:space="preserve"> </w:t>
      </w:r>
      <w:r>
        <w:rPr>
          <w:rFonts w:ascii="宋体" w:hAnsi="宋体"/>
          <w:sz w:val="24"/>
          <w:u w:val="single"/>
        </w:rPr>
        <w:tab/>
      </w:r>
      <w:r>
        <w:rPr>
          <w:rFonts w:ascii="宋体" w:hAnsi="宋体"/>
          <w:sz w:val="24"/>
          <w:u w:val="single"/>
        </w:rPr>
        <w:tab/>
      </w:r>
      <w:r>
        <w:rPr>
          <w:rFonts w:hint="eastAsia" w:ascii="宋体" w:hAnsi="宋体"/>
          <w:sz w:val="24"/>
        </w:rPr>
        <w:t>开户银行账号：</w:t>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 xml:space="preserve">  </w:t>
      </w:r>
      <w:r>
        <w:rPr>
          <w:rFonts w:hint="eastAsia" w:ascii="宋体" w:hAnsi="宋体"/>
          <w:sz w:val="24"/>
          <w:u w:val="single"/>
        </w:rPr>
        <w:t xml:space="preserve">       </w:t>
      </w:r>
    </w:p>
    <w:p>
      <w:pPr>
        <w:adjustRightInd w:val="0"/>
        <w:snapToGrid w:val="0"/>
        <w:spacing w:line="580" w:lineRule="exact"/>
        <w:ind w:right="15" w:rightChars="7"/>
        <w:rPr>
          <w:rFonts w:ascii="宋体" w:hAnsi="宋体"/>
          <w:sz w:val="24"/>
        </w:rPr>
      </w:pPr>
      <w:r>
        <w:rPr>
          <w:rFonts w:ascii="宋体" w:hAnsi="宋体"/>
          <w:sz w:val="24"/>
        </w:rPr>
        <w:t>日</w:t>
      </w:r>
      <w:r>
        <w:rPr>
          <w:rFonts w:hint="eastAsia" w:ascii="宋体" w:hAnsi="宋体"/>
          <w:sz w:val="24"/>
        </w:rPr>
        <w:t xml:space="preserve">    </w:t>
      </w:r>
      <w:r>
        <w:rPr>
          <w:rFonts w:ascii="宋体" w:hAnsi="宋体"/>
          <w:sz w:val="24"/>
        </w:rPr>
        <w:t>期：</w:t>
      </w:r>
      <w:r>
        <w:rPr>
          <w:rFonts w:hint="eastAsia" w:ascii="宋体" w:hAnsi="宋体"/>
          <w:sz w:val="24"/>
          <w:u w:val="single"/>
        </w:rPr>
        <w:t xml:space="preserve">           </w:t>
      </w:r>
      <w:r>
        <w:rPr>
          <w:rFonts w:ascii="宋体" w:hAnsi="宋体"/>
          <w:sz w:val="24"/>
        </w:rPr>
        <w:t>年</w:t>
      </w:r>
      <w:r>
        <w:rPr>
          <w:rFonts w:hint="eastAsia" w:ascii="宋体" w:hAnsi="宋体"/>
          <w:sz w:val="24"/>
          <w:u w:val="single"/>
        </w:rPr>
        <w:t xml:space="preserve">     </w:t>
      </w:r>
      <w:r>
        <w:rPr>
          <w:rFonts w:ascii="宋体" w:hAnsi="宋体"/>
          <w:sz w:val="24"/>
        </w:rPr>
        <w:t>月____日</w:t>
      </w:r>
    </w:p>
    <w:p>
      <w:pPr>
        <w:adjustRightInd w:val="0"/>
        <w:snapToGrid w:val="0"/>
        <w:spacing w:before="62" w:beforeLines="20" w:after="62" w:afterLines="20" w:line="540" w:lineRule="exact"/>
        <w:ind w:right="15" w:rightChars="7"/>
        <w:rPr>
          <w:rFonts w:ascii="宋体" w:hAnsi="宋体"/>
          <w:bCs/>
          <w:sz w:val="28"/>
          <w:szCs w:val="28"/>
        </w:rPr>
        <w:sectPr>
          <w:pgSz w:w="11906" w:h="16838"/>
          <w:pgMar w:top="1134" w:right="1134" w:bottom="1134" w:left="1134" w:header="567" w:footer="567" w:gutter="0"/>
          <w:pgNumType w:start="1" w:chapStyle="1" w:chapSep="emDash"/>
          <w:cols w:space="425" w:num="1"/>
          <w:titlePg/>
          <w:docGrid w:type="lines" w:linePitch="312" w:charSpace="0"/>
        </w:sectPr>
      </w:pPr>
    </w:p>
    <w:p>
      <w:pPr>
        <w:adjustRightInd w:val="0"/>
        <w:snapToGrid w:val="0"/>
        <w:spacing w:before="62" w:beforeLines="20" w:after="62" w:afterLines="20" w:line="540" w:lineRule="exact"/>
        <w:ind w:right="15" w:rightChars="7"/>
        <w:rPr>
          <w:rFonts w:ascii="宋体" w:hAnsi="宋体"/>
          <w:bCs/>
          <w:sz w:val="28"/>
          <w:szCs w:val="28"/>
        </w:rPr>
      </w:pPr>
    </w:p>
    <w:p>
      <w:pPr>
        <w:adjustRightInd w:val="0"/>
        <w:snapToGrid w:val="0"/>
        <w:spacing w:before="62" w:beforeLines="20" w:after="62" w:afterLines="20" w:line="540" w:lineRule="exact"/>
        <w:ind w:right="15" w:rightChars="7"/>
        <w:rPr>
          <w:rFonts w:ascii="宋体" w:hAnsi="宋体"/>
          <w:bCs/>
          <w:sz w:val="28"/>
          <w:szCs w:val="28"/>
        </w:rPr>
      </w:pPr>
      <w:r>
        <w:rPr>
          <w:rFonts w:hint="eastAsia" w:ascii="宋体" w:hAnsi="宋体"/>
          <w:bCs/>
          <w:sz w:val="28"/>
          <w:szCs w:val="28"/>
        </w:rPr>
        <w:t>附件三</w:t>
      </w:r>
    </w:p>
    <w:p>
      <w:pPr>
        <w:pStyle w:val="4"/>
        <w:widowControl/>
        <w:numPr>
          <w:ilvl w:val="2"/>
          <w:numId w:val="2"/>
        </w:numPr>
        <w:tabs>
          <w:tab w:val="left" w:pos="0"/>
        </w:tabs>
        <w:spacing w:before="62" w:beforeLines="20" w:after="62" w:afterLines="20" w:line="540" w:lineRule="exact"/>
        <w:ind w:right="15" w:rightChars="7"/>
        <w:jc w:val="center"/>
      </w:pPr>
      <w:r>
        <w:rPr>
          <w:rFonts w:hint="eastAsia"/>
        </w:rPr>
        <w:t>投标报价汇总表</w:t>
      </w:r>
    </w:p>
    <w:p>
      <w:pPr>
        <w:adjustRightInd w:val="0"/>
        <w:snapToGrid w:val="0"/>
        <w:spacing w:line="540" w:lineRule="exact"/>
        <w:ind w:right="15" w:rightChars="7"/>
        <w:rPr>
          <w:rFonts w:ascii="宋体" w:hAnsi="宋体"/>
          <w:bCs/>
          <w:sz w:val="24"/>
        </w:rPr>
      </w:pPr>
      <w:r>
        <w:rPr>
          <w:rFonts w:hint="eastAsia" w:ascii="宋体" w:hAnsi="宋体"/>
          <w:bCs/>
          <w:sz w:val="24"/>
        </w:rPr>
        <w:t>项目名称：                                                     年  月  日</w:t>
      </w:r>
    </w:p>
    <w:tbl>
      <w:tblPr>
        <w:tblStyle w:val="31"/>
        <w:tblW w:w="9043" w:type="dxa"/>
        <w:jc w:val="center"/>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3"/>
        <w:gridCol w:w="3757"/>
        <w:gridCol w:w="1274"/>
        <w:gridCol w:w="2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0" w:hRule="atLeast"/>
          <w:jc w:val="center"/>
        </w:trPr>
        <w:tc>
          <w:tcPr>
            <w:tcW w:w="1803" w:type="dxa"/>
            <w:vAlign w:val="center"/>
          </w:tcPr>
          <w:p>
            <w:pPr>
              <w:adjustRightInd w:val="0"/>
              <w:snapToGrid w:val="0"/>
              <w:ind w:right="15" w:rightChars="7"/>
              <w:jc w:val="center"/>
              <w:rPr>
                <w:rFonts w:ascii="宋体" w:hAnsi="宋体"/>
                <w:bCs/>
                <w:sz w:val="18"/>
                <w:szCs w:val="18"/>
              </w:rPr>
            </w:pPr>
            <w:r>
              <w:rPr>
                <w:rFonts w:hint="eastAsia" w:ascii="宋体" w:hAnsi="宋体"/>
                <w:bCs/>
                <w:sz w:val="18"/>
                <w:szCs w:val="18"/>
              </w:rPr>
              <w:t>投标单位</w:t>
            </w:r>
          </w:p>
        </w:tc>
        <w:tc>
          <w:tcPr>
            <w:tcW w:w="3757" w:type="dxa"/>
            <w:vAlign w:val="center"/>
          </w:tcPr>
          <w:p>
            <w:pPr>
              <w:adjustRightInd w:val="0"/>
              <w:snapToGrid w:val="0"/>
              <w:ind w:right="15" w:rightChars="7"/>
              <w:jc w:val="center"/>
              <w:rPr>
                <w:rFonts w:ascii="宋体" w:hAnsi="宋体"/>
                <w:bCs/>
                <w:sz w:val="18"/>
                <w:szCs w:val="18"/>
              </w:rPr>
            </w:pPr>
          </w:p>
        </w:tc>
        <w:tc>
          <w:tcPr>
            <w:tcW w:w="1274" w:type="dxa"/>
            <w:vAlign w:val="center"/>
          </w:tcPr>
          <w:p>
            <w:pPr>
              <w:adjustRightInd w:val="0"/>
              <w:snapToGrid w:val="0"/>
              <w:ind w:right="15" w:rightChars="7"/>
              <w:jc w:val="center"/>
              <w:rPr>
                <w:rFonts w:ascii="宋体" w:hAnsi="宋体"/>
                <w:bCs/>
                <w:sz w:val="18"/>
                <w:szCs w:val="18"/>
              </w:rPr>
            </w:pPr>
            <w:r>
              <w:rPr>
                <w:rFonts w:hint="eastAsia" w:ascii="宋体" w:hAnsi="宋体"/>
                <w:bCs/>
                <w:sz w:val="18"/>
                <w:szCs w:val="18"/>
              </w:rPr>
              <w:t>资质等级</w:t>
            </w:r>
          </w:p>
        </w:tc>
        <w:tc>
          <w:tcPr>
            <w:tcW w:w="2209" w:type="dxa"/>
            <w:vAlign w:val="center"/>
          </w:tcPr>
          <w:p>
            <w:pPr>
              <w:adjustRightInd w:val="0"/>
              <w:snapToGrid w:val="0"/>
              <w:ind w:right="15" w:rightChars="7"/>
              <w:jc w:val="center"/>
              <w:rPr>
                <w:rFonts w:ascii="宋体" w:hAnsi="宋体"/>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0" w:hRule="atLeast"/>
          <w:jc w:val="center"/>
        </w:trPr>
        <w:tc>
          <w:tcPr>
            <w:tcW w:w="5560" w:type="dxa"/>
            <w:gridSpan w:val="2"/>
            <w:vAlign w:val="center"/>
          </w:tcPr>
          <w:p>
            <w:pPr>
              <w:adjustRightInd w:val="0"/>
              <w:snapToGrid w:val="0"/>
              <w:ind w:right="15" w:rightChars="7"/>
              <w:rPr>
                <w:rFonts w:ascii="宋体" w:hAnsi="宋体"/>
                <w:bCs/>
                <w:sz w:val="18"/>
                <w:szCs w:val="18"/>
              </w:rPr>
            </w:pPr>
            <w:r>
              <w:rPr>
                <w:rFonts w:hint="eastAsia" w:ascii="宋体" w:hAnsi="宋体"/>
                <w:bCs/>
                <w:sz w:val="18"/>
                <w:szCs w:val="18"/>
              </w:rPr>
              <w:t>投标报价(大写)：</w:t>
            </w:r>
          </w:p>
        </w:tc>
        <w:tc>
          <w:tcPr>
            <w:tcW w:w="3483" w:type="dxa"/>
            <w:gridSpan w:val="2"/>
            <w:vAlign w:val="center"/>
          </w:tcPr>
          <w:p>
            <w:pPr>
              <w:adjustRightInd w:val="0"/>
              <w:snapToGrid w:val="0"/>
              <w:ind w:right="15" w:rightChars="7"/>
              <w:rPr>
                <w:rFonts w:ascii="宋体" w:hAnsi="宋体"/>
                <w:bCs/>
                <w:sz w:val="18"/>
                <w:szCs w:val="18"/>
              </w:rPr>
            </w:pPr>
            <w:r>
              <w:rPr>
                <w:rFonts w:hint="eastAsia" w:ascii="宋体" w:hAnsi="宋体"/>
                <w:bCs/>
                <w:sz w:val="18"/>
                <w:szCs w:val="18"/>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9043" w:type="dxa"/>
            <w:gridSpan w:val="4"/>
            <w:vAlign w:val="center"/>
          </w:tcPr>
          <w:p>
            <w:pPr>
              <w:adjustRightInd w:val="0"/>
              <w:snapToGrid w:val="0"/>
              <w:ind w:right="15" w:rightChars="7"/>
              <w:rPr>
                <w:rFonts w:ascii="宋体" w:hAnsi="宋体"/>
                <w:bCs/>
                <w:sz w:val="18"/>
                <w:szCs w:val="18"/>
              </w:rPr>
            </w:pPr>
          </w:p>
          <w:p>
            <w:pPr>
              <w:adjustRightInd w:val="0"/>
              <w:snapToGrid w:val="0"/>
              <w:ind w:right="15" w:rightChars="7"/>
              <w:rPr>
                <w:rFonts w:ascii="宋体" w:hAnsi="宋体"/>
                <w:bCs/>
                <w:sz w:val="18"/>
                <w:szCs w:val="18"/>
              </w:rPr>
            </w:pPr>
          </w:p>
          <w:p>
            <w:pPr>
              <w:adjustRightInd w:val="0"/>
              <w:snapToGrid w:val="0"/>
              <w:ind w:right="15" w:rightChars="7"/>
              <w:rPr>
                <w:rFonts w:ascii="宋体" w:hAnsi="宋体"/>
                <w:bCs/>
                <w:sz w:val="18"/>
                <w:szCs w:val="18"/>
              </w:rPr>
            </w:pPr>
          </w:p>
          <w:p>
            <w:pPr>
              <w:adjustRightInd w:val="0"/>
              <w:snapToGrid w:val="0"/>
              <w:ind w:right="15" w:rightChars="7"/>
              <w:rPr>
                <w:rFonts w:ascii="宋体" w:hAnsi="宋体"/>
                <w:bCs/>
                <w:sz w:val="18"/>
                <w:szCs w:val="18"/>
              </w:rPr>
            </w:pPr>
          </w:p>
          <w:p>
            <w:pPr>
              <w:adjustRightInd w:val="0"/>
              <w:snapToGrid w:val="0"/>
              <w:ind w:right="15" w:rightChars="7"/>
              <w:rPr>
                <w:rFonts w:ascii="宋体" w:hAnsi="宋体"/>
                <w:bCs/>
                <w:sz w:val="18"/>
                <w:szCs w:val="18"/>
              </w:rPr>
            </w:pPr>
          </w:p>
          <w:p>
            <w:pPr>
              <w:adjustRightInd w:val="0"/>
              <w:snapToGrid w:val="0"/>
              <w:ind w:right="15" w:rightChars="7"/>
              <w:rPr>
                <w:rFonts w:ascii="宋体" w:hAnsi="宋体"/>
                <w:bCs/>
                <w:sz w:val="18"/>
                <w:szCs w:val="18"/>
              </w:rPr>
            </w:pPr>
          </w:p>
          <w:p>
            <w:pPr>
              <w:adjustRightInd w:val="0"/>
              <w:snapToGrid w:val="0"/>
              <w:ind w:right="15" w:rightChars="7"/>
              <w:rPr>
                <w:rFonts w:ascii="宋体" w:hAnsi="宋体"/>
                <w:bCs/>
                <w:sz w:val="18"/>
                <w:szCs w:val="18"/>
              </w:rPr>
            </w:pPr>
          </w:p>
          <w:p>
            <w:pPr>
              <w:adjustRightInd w:val="0"/>
              <w:snapToGrid w:val="0"/>
              <w:ind w:right="15" w:rightChars="7"/>
              <w:rPr>
                <w:rFonts w:ascii="宋体" w:hAnsi="宋体"/>
                <w:bCs/>
                <w:sz w:val="18"/>
                <w:szCs w:val="18"/>
              </w:rPr>
            </w:pPr>
          </w:p>
          <w:p>
            <w:pPr>
              <w:adjustRightInd w:val="0"/>
              <w:snapToGrid w:val="0"/>
              <w:ind w:right="15" w:rightChars="7"/>
              <w:rPr>
                <w:rFonts w:ascii="宋体" w:hAnsi="宋体"/>
                <w:bCs/>
                <w:sz w:val="18"/>
                <w:szCs w:val="18"/>
              </w:rPr>
            </w:pPr>
          </w:p>
          <w:p>
            <w:pPr>
              <w:adjustRightInd w:val="0"/>
              <w:snapToGrid w:val="0"/>
              <w:ind w:right="15" w:rightChars="7"/>
              <w:rPr>
                <w:rFonts w:ascii="宋体" w:hAnsi="宋体"/>
                <w:bCs/>
                <w:sz w:val="18"/>
                <w:szCs w:val="18"/>
              </w:rPr>
            </w:pPr>
          </w:p>
          <w:p>
            <w:pPr>
              <w:adjustRightInd w:val="0"/>
              <w:snapToGrid w:val="0"/>
              <w:ind w:right="15" w:rightChars="7"/>
              <w:rPr>
                <w:rFonts w:ascii="宋体" w:hAnsi="宋体"/>
                <w:bCs/>
                <w:sz w:val="18"/>
                <w:szCs w:val="18"/>
              </w:rPr>
            </w:pPr>
          </w:p>
          <w:p>
            <w:pPr>
              <w:adjustRightInd w:val="0"/>
              <w:snapToGrid w:val="0"/>
              <w:ind w:right="15" w:rightChars="7"/>
              <w:rPr>
                <w:rFonts w:ascii="宋体" w:hAnsi="宋体"/>
                <w:bCs/>
                <w:sz w:val="18"/>
                <w:szCs w:val="18"/>
              </w:rPr>
            </w:pPr>
          </w:p>
          <w:p>
            <w:pPr>
              <w:adjustRightInd w:val="0"/>
              <w:snapToGrid w:val="0"/>
              <w:ind w:right="15" w:rightChars="7"/>
              <w:rPr>
                <w:rFonts w:ascii="宋体" w:hAnsi="宋体"/>
                <w:bCs/>
                <w:sz w:val="18"/>
                <w:szCs w:val="18"/>
              </w:rPr>
            </w:pPr>
          </w:p>
          <w:p>
            <w:pPr>
              <w:adjustRightInd w:val="0"/>
              <w:snapToGrid w:val="0"/>
              <w:ind w:right="15" w:rightChars="7"/>
              <w:rPr>
                <w:rFonts w:ascii="宋体" w:hAnsi="宋体"/>
                <w:bCs/>
                <w:sz w:val="18"/>
                <w:szCs w:val="18"/>
              </w:rPr>
            </w:pPr>
          </w:p>
          <w:p>
            <w:pPr>
              <w:adjustRightInd w:val="0"/>
              <w:snapToGrid w:val="0"/>
              <w:ind w:right="15" w:rightChars="7"/>
              <w:rPr>
                <w:rFonts w:ascii="宋体" w:hAnsi="宋体"/>
                <w:bCs/>
                <w:sz w:val="18"/>
                <w:szCs w:val="18"/>
              </w:rPr>
            </w:pPr>
          </w:p>
          <w:p>
            <w:pPr>
              <w:adjustRightInd w:val="0"/>
              <w:snapToGrid w:val="0"/>
              <w:ind w:right="15" w:rightChars="7"/>
              <w:rPr>
                <w:rFonts w:ascii="宋体" w:hAnsi="宋体"/>
                <w:bCs/>
                <w:sz w:val="18"/>
                <w:szCs w:val="18"/>
              </w:rPr>
            </w:pPr>
          </w:p>
          <w:p>
            <w:pPr>
              <w:adjustRightInd w:val="0"/>
              <w:snapToGrid w:val="0"/>
              <w:ind w:right="15" w:rightChars="7"/>
              <w:rPr>
                <w:rFonts w:ascii="宋体" w:hAnsi="宋体"/>
                <w:bCs/>
                <w:sz w:val="18"/>
                <w:szCs w:val="18"/>
              </w:rPr>
            </w:pPr>
          </w:p>
          <w:p>
            <w:pPr>
              <w:adjustRightInd w:val="0"/>
              <w:snapToGrid w:val="0"/>
              <w:ind w:right="15" w:rightChars="7" w:firstLine="120"/>
              <w:rPr>
                <w:rFonts w:ascii="宋体" w:hAnsi="宋体"/>
                <w:bCs/>
                <w:sz w:val="18"/>
                <w:szCs w:val="18"/>
              </w:rPr>
            </w:pPr>
            <w:r>
              <w:rPr>
                <w:rFonts w:hint="eastAsia" w:ascii="宋体" w:hAnsi="宋体"/>
                <w:bCs/>
                <w:sz w:val="18"/>
                <w:szCs w:val="18"/>
              </w:rPr>
              <w:t>投标单位（盖章）                          法人代表（签字或盖章）</w:t>
            </w:r>
          </w:p>
          <w:p>
            <w:pPr>
              <w:adjustRightInd w:val="0"/>
              <w:snapToGrid w:val="0"/>
              <w:ind w:right="15" w:rightChars="7"/>
              <w:rPr>
                <w:rFonts w:ascii="宋体" w:hAnsi="宋体"/>
                <w:bCs/>
                <w:sz w:val="18"/>
                <w:szCs w:val="18"/>
              </w:rPr>
            </w:pPr>
          </w:p>
        </w:tc>
      </w:tr>
    </w:tbl>
    <w:p>
      <w:pPr>
        <w:pStyle w:val="13"/>
        <w:spacing w:line="360" w:lineRule="auto"/>
        <w:ind w:firstLine="0"/>
        <w:rPr>
          <w:rFonts w:hAnsi="宋体"/>
          <w:sz w:val="24"/>
        </w:rPr>
      </w:pPr>
    </w:p>
    <w:p>
      <w:pPr>
        <w:pStyle w:val="13"/>
        <w:spacing w:line="360" w:lineRule="auto"/>
        <w:ind w:firstLine="0"/>
        <w:rPr>
          <w:rFonts w:hAnsi="宋体"/>
          <w:sz w:val="24"/>
        </w:rPr>
      </w:pPr>
      <w:r>
        <w:rPr>
          <w:rFonts w:hint="eastAsia" w:hAnsi="宋体"/>
          <w:sz w:val="24"/>
        </w:rPr>
        <w:t xml:space="preserve">1.8.2  </w:t>
      </w:r>
      <w:r>
        <w:rPr>
          <w:rFonts w:hAnsi="宋体"/>
          <w:sz w:val="24"/>
        </w:rPr>
        <w:t>投标人应提交证明其实施服务的合格性符合</w:t>
      </w:r>
      <w:r>
        <w:rPr>
          <w:rFonts w:hint="eastAsia" w:hAnsi="宋体"/>
          <w:sz w:val="24"/>
        </w:rPr>
        <w:t>招标</w:t>
      </w:r>
      <w:r>
        <w:rPr>
          <w:rFonts w:hAnsi="宋体"/>
          <w:sz w:val="24"/>
        </w:rPr>
        <w:t>文件规定的文件，并作为其应答文件的一部分。它可以是文字资料、图纸和数据，实施服务包括：项目启动、实施方案、实施流程、相关成果的提交及培训等，以及技术支持的描述。</w:t>
      </w:r>
    </w:p>
    <w:p>
      <w:pPr>
        <w:pStyle w:val="13"/>
        <w:spacing w:line="360" w:lineRule="auto"/>
        <w:ind w:firstLine="0"/>
        <w:rPr>
          <w:rFonts w:hAnsi="宋体"/>
          <w:sz w:val="24"/>
          <w:szCs w:val="24"/>
        </w:rPr>
      </w:pPr>
      <w:r>
        <w:rPr>
          <w:rFonts w:hint="eastAsia" w:hAnsi="宋体"/>
          <w:sz w:val="24"/>
          <w:szCs w:val="24"/>
        </w:rPr>
        <w:t xml:space="preserve">1.8.3  </w:t>
      </w:r>
      <w:r>
        <w:rPr>
          <w:rFonts w:hAnsi="宋体"/>
          <w:sz w:val="24"/>
          <w:szCs w:val="24"/>
        </w:rPr>
        <w:t>投标人应按</w:t>
      </w:r>
      <w:r>
        <w:rPr>
          <w:rFonts w:hint="eastAsia" w:hAnsi="宋体"/>
          <w:sz w:val="24"/>
          <w:szCs w:val="24"/>
        </w:rPr>
        <w:t>招标</w:t>
      </w:r>
      <w:r>
        <w:rPr>
          <w:rFonts w:hAnsi="宋体"/>
          <w:sz w:val="24"/>
          <w:szCs w:val="24"/>
        </w:rPr>
        <w:t>文件中规定的报价表格式对本次招标范围内实施服务、维护与支持进行报价。该报价为完成本项目提供合格服务所需要的全部费用，包括</w:t>
      </w:r>
      <w:r>
        <w:rPr>
          <w:rFonts w:hint="eastAsia" w:hAnsi="宋体"/>
          <w:sz w:val="24"/>
          <w:szCs w:val="24"/>
        </w:rPr>
        <w:t>测评费、</w:t>
      </w:r>
      <w:r>
        <w:rPr>
          <w:rFonts w:hAnsi="宋体"/>
          <w:sz w:val="24"/>
          <w:szCs w:val="24"/>
        </w:rPr>
        <w:t>服务费、资料费、管理费、利润、税收等，投标人应填写报价表和各种分项报价表。若单价和总价有差异，则以单价为准，并对总价进行修正；若</w:t>
      </w:r>
      <w:r>
        <w:rPr>
          <w:rFonts w:hint="eastAsia" w:hAnsi="宋体"/>
          <w:sz w:val="24"/>
          <w:szCs w:val="24"/>
        </w:rPr>
        <w:t>小写</w:t>
      </w:r>
      <w:r>
        <w:rPr>
          <w:rFonts w:hAnsi="宋体"/>
          <w:sz w:val="24"/>
          <w:szCs w:val="24"/>
        </w:rPr>
        <w:t>和</w:t>
      </w:r>
      <w:r>
        <w:rPr>
          <w:rFonts w:hint="eastAsia" w:hAnsi="宋体"/>
          <w:sz w:val="24"/>
          <w:szCs w:val="24"/>
        </w:rPr>
        <w:t>大写</w:t>
      </w:r>
      <w:r>
        <w:rPr>
          <w:rFonts w:hAnsi="宋体"/>
          <w:sz w:val="24"/>
          <w:szCs w:val="24"/>
        </w:rPr>
        <w:t>表示的金额之间有差异，则以</w:t>
      </w:r>
      <w:r>
        <w:rPr>
          <w:rFonts w:hint="eastAsia" w:hAnsi="宋体"/>
          <w:sz w:val="24"/>
          <w:szCs w:val="24"/>
        </w:rPr>
        <w:t>大写</w:t>
      </w:r>
      <w:r>
        <w:rPr>
          <w:rFonts w:hAnsi="宋体"/>
          <w:sz w:val="24"/>
          <w:szCs w:val="24"/>
        </w:rPr>
        <w:t>金额为准，并对</w:t>
      </w:r>
      <w:r>
        <w:rPr>
          <w:rFonts w:hint="eastAsia" w:hAnsi="宋体"/>
          <w:sz w:val="24"/>
          <w:szCs w:val="24"/>
        </w:rPr>
        <w:t>小写金额</w:t>
      </w:r>
      <w:r>
        <w:rPr>
          <w:rFonts w:hAnsi="宋体"/>
          <w:sz w:val="24"/>
          <w:szCs w:val="24"/>
        </w:rPr>
        <w:t>作相应的修正。</w:t>
      </w:r>
    </w:p>
    <w:p>
      <w:pPr>
        <w:pStyle w:val="13"/>
        <w:spacing w:line="360" w:lineRule="auto"/>
        <w:ind w:firstLine="0"/>
        <w:rPr>
          <w:rFonts w:hAnsi="宋体"/>
          <w:sz w:val="24"/>
          <w:szCs w:val="24"/>
        </w:rPr>
      </w:pPr>
      <w:r>
        <w:rPr>
          <w:rFonts w:hint="eastAsia" w:hAnsi="宋体"/>
          <w:sz w:val="24"/>
          <w:szCs w:val="24"/>
        </w:rPr>
        <w:t xml:space="preserve">1.8.4  </w:t>
      </w:r>
      <w:r>
        <w:rPr>
          <w:rFonts w:hAnsi="宋体"/>
          <w:sz w:val="24"/>
          <w:szCs w:val="24"/>
        </w:rPr>
        <w:t>本项目报价为固定价格报价，投标人应充分考虑服务实施期间各类市场价格和政策性价格调整因素，确定价格风险计入总报价，今后不作调整。按可调整价格报价的应答文件将被拒绝。</w:t>
      </w:r>
    </w:p>
    <w:p>
      <w:pPr>
        <w:pStyle w:val="13"/>
        <w:spacing w:line="360" w:lineRule="auto"/>
        <w:ind w:firstLine="0"/>
        <w:rPr>
          <w:bCs/>
          <w:kern w:val="0"/>
          <w:sz w:val="24"/>
        </w:rPr>
      </w:pPr>
      <w:r>
        <w:rPr>
          <w:rFonts w:hint="eastAsia" w:hAnsi="宋体"/>
          <w:bCs/>
          <w:kern w:val="0"/>
          <w:sz w:val="24"/>
        </w:rPr>
        <w:t xml:space="preserve">1.8.5   </w:t>
      </w:r>
      <w:r>
        <w:rPr>
          <w:rFonts w:hAnsi="宋体"/>
          <w:bCs/>
          <w:kern w:val="0"/>
          <w:sz w:val="24"/>
        </w:rPr>
        <w:t>投标人应遵照国家有关规定，对本</w:t>
      </w:r>
      <w:r>
        <w:rPr>
          <w:rFonts w:hint="eastAsia" w:hAnsi="宋体"/>
          <w:bCs/>
          <w:kern w:val="0"/>
          <w:sz w:val="24"/>
        </w:rPr>
        <w:t>招标</w:t>
      </w:r>
      <w:r>
        <w:rPr>
          <w:rFonts w:hAnsi="宋体"/>
          <w:bCs/>
          <w:kern w:val="0"/>
          <w:sz w:val="24"/>
        </w:rPr>
        <w:t>文件的内容进行报价。本项目所发生的一切费用均以人民币结算及支付；投标人应按规定向政府有关纳税机交纳本合同中所涉及的税费。</w:t>
      </w:r>
    </w:p>
    <w:p>
      <w:pPr>
        <w:pStyle w:val="13"/>
        <w:spacing w:line="360" w:lineRule="auto"/>
        <w:ind w:firstLine="0"/>
        <w:rPr>
          <w:rFonts w:hAnsi="宋体"/>
          <w:sz w:val="24"/>
          <w:szCs w:val="24"/>
        </w:rPr>
      </w:pPr>
      <w:r>
        <w:rPr>
          <w:rFonts w:hint="eastAsia" w:hAnsi="宋体"/>
          <w:sz w:val="24"/>
          <w:szCs w:val="24"/>
        </w:rPr>
        <w:t xml:space="preserve">1.8.6   </w:t>
      </w:r>
      <w:r>
        <w:rPr>
          <w:rFonts w:hAnsi="宋体"/>
          <w:sz w:val="24"/>
          <w:szCs w:val="24"/>
        </w:rPr>
        <w:t>提交工作进度计划及实施方案</w:t>
      </w:r>
    </w:p>
    <w:p>
      <w:pPr>
        <w:pStyle w:val="13"/>
        <w:spacing w:line="360" w:lineRule="auto"/>
        <w:ind w:firstLine="0"/>
        <w:rPr>
          <w:rFonts w:hAnsi="宋体"/>
          <w:sz w:val="24"/>
          <w:szCs w:val="24"/>
        </w:rPr>
      </w:pPr>
      <w:r>
        <w:rPr>
          <w:rFonts w:hAnsi="宋体"/>
          <w:sz w:val="24"/>
          <w:szCs w:val="24"/>
        </w:rPr>
        <w:t>为完成招标范围的工作，投标人应</w:t>
      </w:r>
      <w:r>
        <w:rPr>
          <w:rFonts w:hint="eastAsia" w:hAnsi="宋体"/>
          <w:sz w:val="24"/>
          <w:szCs w:val="24"/>
        </w:rPr>
        <w:t>根据招标人要求及安排</w:t>
      </w:r>
      <w:r>
        <w:rPr>
          <w:rFonts w:hAnsi="宋体"/>
          <w:sz w:val="24"/>
          <w:szCs w:val="24"/>
        </w:rPr>
        <w:t>实施进度计划</w:t>
      </w:r>
      <w:r>
        <w:rPr>
          <w:rFonts w:hint="eastAsia" w:hAnsi="宋体"/>
          <w:sz w:val="24"/>
          <w:szCs w:val="24"/>
        </w:rPr>
        <w:t>。</w:t>
      </w:r>
    </w:p>
    <w:p>
      <w:pPr>
        <w:pStyle w:val="13"/>
        <w:spacing w:line="360" w:lineRule="auto"/>
        <w:ind w:firstLine="0"/>
        <w:rPr>
          <w:rFonts w:hAnsi="宋体"/>
          <w:sz w:val="24"/>
          <w:szCs w:val="24"/>
        </w:rPr>
      </w:pPr>
      <w:r>
        <w:rPr>
          <w:rFonts w:hint="eastAsia" w:hAnsi="宋体"/>
          <w:sz w:val="24"/>
          <w:szCs w:val="24"/>
        </w:rPr>
        <w:t>1.8.7   应答文件的准备</w:t>
      </w:r>
    </w:p>
    <w:p>
      <w:pPr>
        <w:pStyle w:val="13"/>
        <w:spacing w:line="360" w:lineRule="auto"/>
        <w:ind w:left="210" w:leftChars="100" w:firstLine="0"/>
        <w:rPr>
          <w:rFonts w:hAnsi="宋体"/>
          <w:sz w:val="24"/>
          <w:szCs w:val="24"/>
        </w:rPr>
      </w:pPr>
      <w:r>
        <w:rPr>
          <w:rFonts w:hAnsi="宋体"/>
          <w:sz w:val="24"/>
          <w:szCs w:val="24"/>
        </w:rPr>
        <w:t>1</w:t>
      </w:r>
      <w:r>
        <w:rPr>
          <w:rFonts w:hint="eastAsia" w:hAnsi="宋体"/>
          <w:sz w:val="24"/>
          <w:szCs w:val="24"/>
        </w:rPr>
        <w:t>）</w:t>
      </w:r>
      <w:r>
        <w:rPr>
          <w:rFonts w:hAnsi="宋体"/>
          <w:sz w:val="24"/>
          <w:szCs w:val="24"/>
        </w:rPr>
        <w:t>应答文件一式肆份</w:t>
      </w:r>
      <w:r>
        <w:rPr>
          <w:rFonts w:hint="eastAsia" w:hAnsi="宋体"/>
          <w:sz w:val="24"/>
          <w:szCs w:val="24"/>
        </w:rPr>
        <w:t>（正本壹</w:t>
      </w:r>
      <w:r>
        <w:rPr>
          <w:rFonts w:hAnsi="宋体"/>
          <w:sz w:val="24"/>
          <w:szCs w:val="24"/>
        </w:rPr>
        <w:t>份，副本</w:t>
      </w:r>
      <w:r>
        <w:rPr>
          <w:rFonts w:hint="eastAsia" w:hAnsi="宋体"/>
          <w:sz w:val="24"/>
          <w:szCs w:val="24"/>
        </w:rPr>
        <w:t>叁</w:t>
      </w:r>
      <w:r>
        <w:rPr>
          <w:rFonts w:hAnsi="宋体"/>
          <w:sz w:val="24"/>
          <w:szCs w:val="24"/>
        </w:rPr>
        <w:t>份）</w:t>
      </w:r>
      <w:r>
        <w:rPr>
          <w:rFonts w:hint="eastAsia" w:hAnsi="宋体"/>
          <w:sz w:val="24"/>
          <w:szCs w:val="24"/>
        </w:rPr>
        <w:t>。</w:t>
      </w:r>
    </w:p>
    <w:p>
      <w:pPr>
        <w:pStyle w:val="13"/>
        <w:spacing w:line="360" w:lineRule="auto"/>
        <w:ind w:left="210" w:leftChars="100" w:firstLine="0"/>
        <w:rPr>
          <w:rFonts w:hAnsi="宋体"/>
          <w:sz w:val="24"/>
          <w:szCs w:val="24"/>
        </w:rPr>
      </w:pPr>
      <w:r>
        <w:rPr>
          <w:rFonts w:hAnsi="宋体"/>
          <w:sz w:val="24"/>
          <w:szCs w:val="24"/>
        </w:rPr>
        <w:t>2</w:t>
      </w:r>
      <w:r>
        <w:rPr>
          <w:rFonts w:hint="eastAsia" w:hAnsi="宋体"/>
          <w:sz w:val="24"/>
          <w:szCs w:val="24"/>
        </w:rPr>
        <w:t>）</w:t>
      </w:r>
      <w:r>
        <w:rPr>
          <w:rFonts w:hAnsi="宋体"/>
          <w:sz w:val="24"/>
          <w:szCs w:val="24"/>
        </w:rPr>
        <w:t>应答文件的正本必须打印</w:t>
      </w:r>
      <w:r>
        <w:rPr>
          <w:rFonts w:hint="eastAsia" w:hAnsi="宋体"/>
          <w:sz w:val="24"/>
          <w:szCs w:val="24"/>
        </w:rPr>
        <w:t>胶装</w:t>
      </w:r>
      <w:r>
        <w:rPr>
          <w:rFonts w:hAnsi="宋体"/>
          <w:sz w:val="24"/>
          <w:szCs w:val="24"/>
        </w:rPr>
        <w:t>，并由法人代表或经正式授权代表在文件上签字并在文件封面上加盖单位公章。投标</w:t>
      </w:r>
      <w:r>
        <w:rPr>
          <w:rFonts w:hint="eastAsia" w:hAnsi="宋体"/>
          <w:sz w:val="24"/>
          <w:szCs w:val="24"/>
        </w:rPr>
        <w:t>应答</w:t>
      </w:r>
      <w:r>
        <w:rPr>
          <w:rFonts w:hAnsi="宋体"/>
          <w:sz w:val="24"/>
          <w:szCs w:val="24"/>
        </w:rPr>
        <w:t>文件的副本</w:t>
      </w:r>
      <w:r>
        <w:rPr>
          <w:rFonts w:hint="eastAsia" w:hAnsi="宋体"/>
          <w:sz w:val="24"/>
          <w:szCs w:val="24"/>
        </w:rPr>
        <w:t>可</w:t>
      </w:r>
      <w:r>
        <w:rPr>
          <w:rFonts w:hAnsi="宋体"/>
          <w:sz w:val="24"/>
          <w:szCs w:val="24"/>
        </w:rPr>
        <w:t xml:space="preserve">采用正本的复印件。 </w:t>
      </w:r>
    </w:p>
    <w:p>
      <w:pPr>
        <w:pStyle w:val="13"/>
        <w:spacing w:line="360" w:lineRule="auto"/>
        <w:ind w:left="210" w:leftChars="100" w:firstLine="0"/>
        <w:rPr>
          <w:rFonts w:hAnsi="宋体"/>
          <w:sz w:val="24"/>
          <w:szCs w:val="24"/>
        </w:rPr>
      </w:pPr>
      <w:r>
        <w:rPr>
          <w:rFonts w:hAnsi="宋体"/>
          <w:sz w:val="24"/>
          <w:szCs w:val="24"/>
        </w:rPr>
        <w:t>3</w:t>
      </w:r>
      <w:r>
        <w:rPr>
          <w:rFonts w:hint="eastAsia" w:hAnsi="宋体"/>
          <w:sz w:val="24"/>
          <w:szCs w:val="24"/>
        </w:rPr>
        <w:t>）</w:t>
      </w:r>
      <w:r>
        <w:rPr>
          <w:rFonts w:hAnsi="宋体"/>
          <w:sz w:val="24"/>
          <w:szCs w:val="24"/>
        </w:rPr>
        <w:t>应答文件的正本和副本，应包括有</w:t>
      </w:r>
      <w:r>
        <w:rPr>
          <w:rFonts w:hint="eastAsia" w:hAnsi="宋体"/>
          <w:sz w:val="24"/>
          <w:szCs w:val="24"/>
        </w:rPr>
        <w:t>招标</w:t>
      </w:r>
      <w:r>
        <w:rPr>
          <w:rFonts w:hAnsi="宋体"/>
          <w:sz w:val="24"/>
          <w:szCs w:val="24"/>
        </w:rPr>
        <w:t>文件规定的全部文件以及投标人认为必要的文件。</w:t>
      </w:r>
    </w:p>
    <w:p>
      <w:pPr>
        <w:pStyle w:val="13"/>
        <w:spacing w:line="360" w:lineRule="auto"/>
        <w:ind w:left="210" w:leftChars="100" w:firstLine="0"/>
        <w:rPr>
          <w:rFonts w:hAnsi="宋体"/>
          <w:sz w:val="24"/>
          <w:szCs w:val="24"/>
        </w:rPr>
      </w:pPr>
      <w:r>
        <w:rPr>
          <w:rFonts w:hAnsi="宋体"/>
          <w:sz w:val="24"/>
          <w:szCs w:val="24"/>
        </w:rPr>
        <w:t>4</w:t>
      </w:r>
      <w:r>
        <w:rPr>
          <w:rFonts w:hint="eastAsia" w:hAnsi="宋体"/>
          <w:sz w:val="24"/>
          <w:szCs w:val="24"/>
        </w:rPr>
        <w:t>）</w:t>
      </w:r>
      <w:r>
        <w:rPr>
          <w:rFonts w:hAnsi="宋体"/>
          <w:sz w:val="24"/>
          <w:szCs w:val="24"/>
        </w:rPr>
        <w:t>全套应答文件应无涂改和行间插字，除非这些删改是根据招标人的指示进行的，或者是投标人认为必须修改的。修改处应有投标人代表（法定代表人或授权代表人）签字或盖章。</w:t>
      </w:r>
    </w:p>
    <w:p>
      <w:pPr>
        <w:spacing w:after="156" w:afterLines="50" w:line="360" w:lineRule="auto"/>
        <w:ind w:left="142"/>
        <w:outlineLvl w:val="1"/>
        <w:rPr>
          <w:rFonts w:hAnsi="宋体"/>
          <w:b/>
          <w:sz w:val="24"/>
        </w:rPr>
      </w:pPr>
      <w:bookmarkStart w:id="18" w:name="_Toc215567879"/>
      <w:r>
        <w:rPr>
          <w:rFonts w:hint="eastAsia" w:hAnsi="宋体"/>
          <w:b/>
          <w:sz w:val="24"/>
        </w:rPr>
        <w:t xml:space="preserve">1.9 </w:t>
      </w:r>
      <w:bookmarkStart w:id="19" w:name="_Toc517076099"/>
      <w:r>
        <w:rPr>
          <w:rFonts w:hAnsi="宋体"/>
          <w:b/>
          <w:sz w:val="24"/>
        </w:rPr>
        <w:t>应答文件的密封和标记</w:t>
      </w:r>
      <w:bookmarkEnd w:id="18"/>
      <w:bookmarkEnd w:id="19"/>
    </w:p>
    <w:p>
      <w:pPr>
        <w:pStyle w:val="13"/>
        <w:spacing w:line="360" w:lineRule="auto"/>
        <w:ind w:firstLine="0"/>
        <w:rPr>
          <w:sz w:val="24"/>
          <w:szCs w:val="24"/>
        </w:rPr>
      </w:pPr>
      <w:r>
        <w:rPr>
          <w:rFonts w:hint="eastAsia" w:hAnsi="宋体"/>
          <w:sz w:val="24"/>
          <w:szCs w:val="24"/>
        </w:rPr>
        <w:t xml:space="preserve">1.9.1  </w:t>
      </w:r>
      <w:r>
        <w:rPr>
          <w:rFonts w:hAnsi="宋体"/>
          <w:sz w:val="24"/>
          <w:szCs w:val="24"/>
        </w:rPr>
        <w:t>应答文件应密封包装在密封袋中，密封袋上应加盖投标单位公章</w:t>
      </w:r>
      <w:r>
        <w:rPr>
          <w:rFonts w:hint="eastAsia" w:hAnsi="宋体"/>
          <w:sz w:val="24"/>
          <w:szCs w:val="24"/>
        </w:rPr>
        <w:t>。</w:t>
      </w:r>
    </w:p>
    <w:p>
      <w:pPr>
        <w:pStyle w:val="13"/>
        <w:spacing w:line="360" w:lineRule="auto"/>
        <w:ind w:firstLine="0"/>
        <w:rPr>
          <w:sz w:val="24"/>
          <w:szCs w:val="24"/>
        </w:rPr>
      </w:pPr>
      <w:r>
        <w:rPr>
          <w:rFonts w:hint="eastAsia" w:hAnsi="宋体"/>
          <w:sz w:val="24"/>
          <w:szCs w:val="24"/>
        </w:rPr>
        <w:t xml:space="preserve">1.9.2  </w:t>
      </w:r>
      <w:r>
        <w:rPr>
          <w:rFonts w:hAnsi="宋体"/>
          <w:sz w:val="24"/>
          <w:szCs w:val="24"/>
        </w:rPr>
        <w:t>每一密封袋上相应标明袋内文件名称及正本或副本，并在袋上注明：</w:t>
      </w:r>
    </w:p>
    <w:p>
      <w:pPr>
        <w:tabs>
          <w:tab w:val="left" w:pos="5805"/>
        </w:tabs>
        <w:spacing w:line="360" w:lineRule="auto"/>
        <w:ind w:firstLine="420"/>
        <w:rPr>
          <w:sz w:val="24"/>
        </w:rPr>
      </w:pPr>
      <w:r>
        <w:rPr>
          <w:rFonts w:hAnsi="宋体"/>
          <w:sz w:val="24"/>
        </w:rPr>
        <w:t>投标单位名称：</w:t>
      </w:r>
      <w:r>
        <w:rPr>
          <w:sz w:val="24"/>
          <w:u w:val="single"/>
        </w:rPr>
        <w:t xml:space="preserve">         </w:t>
      </w:r>
      <w:r>
        <w:rPr>
          <w:rFonts w:hAnsi="宋体"/>
          <w:sz w:val="24"/>
        </w:rPr>
        <w:t>地址：</w:t>
      </w:r>
      <w:r>
        <w:rPr>
          <w:sz w:val="24"/>
          <w:u w:val="single"/>
        </w:rPr>
        <w:t xml:space="preserve">      </w:t>
      </w:r>
      <w:r>
        <w:rPr>
          <w:rFonts w:hAnsi="宋体"/>
          <w:sz w:val="24"/>
        </w:rPr>
        <w:t>联系电话：</w:t>
      </w:r>
      <w:r>
        <w:rPr>
          <w:sz w:val="24"/>
          <w:u w:val="single"/>
        </w:rPr>
        <w:t xml:space="preserve">       </w:t>
      </w:r>
      <w:r>
        <w:rPr>
          <w:rFonts w:hAnsi="宋体"/>
          <w:sz w:val="24"/>
        </w:rPr>
        <w:t>联系人：</w:t>
      </w:r>
      <w:r>
        <w:rPr>
          <w:sz w:val="24"/>
        </w:rPr>
        <w:t xml:space="preserve"> </w:t>
      </w:r>
      <w:r>
        <w:rPr>
          <w:sz w:val="24"/>
          <w:u w:val="single"/>
        </w:rPr>
        <w:t xml:space="preserve">                         </w:t>
      </w:r>
    </w:p>
    <w:p>
      <w:pPr>
        <w:spacing w:after="156" w:afterLines="50" w:line="360" w:lineRule="auto"/>
        <w:ind w:left="142"/>
        <w:outlineLvl w:val="1"/>
        <w:rPr>
          <w:rFonts w:hAnsi="宋体"/>
          <w:b/>
          <w:sz w:val="24"/>
        </w:rPr>
      </w:pPr>
      <w:bookmarkStart w:id="20" w:name="_Toc215567881"/>
      <w:bookmarkStart w:id="21" w:name="_Toc211192934"/>
      <w:r>
        <w:rPr>
          <w:rFonts w:hint="eastAsia" w:hAnsi="宋体"/>
          <w:b/>
          <w:sz w:val="24"/>
        </w:rPr>
        <w:t xml:space="preserve">2.1 </w:t>
      </w:r>
      <w:bookmarkStart w:id="22" w:name="_Toc517076100"/>
      <w:r>
        <w:rPr>
          <w:rFonts w:hAnsi="宋体"/>
          <w:b/>
          <w:sz w:val="24"/>
        </w:rPr>
        <w:t>投标纪律</w:t>
      </w:r>
      <w:bookmarkEnd w:id="20"/>
      <w:bookmarkEnd w:id="21"/>
      <w:bookmarkEnd w:id="22"/>
    </w:p>
    <w:p>
      <w:pPr>
        <w:pStyle w:val="13"/>
        <w:spacing w:line="360" w:lineRule="auto"/>
        <w:ind w:firstLine="0"/>
        <w:rPr>
          <w:rFonts w:hAnsi="宋体"/>
          <w:sz w:val="24"/>
          <w:szCs w:val="24"/>
        </w:rPr>
      </w:pPr>
      <w:r>
        <w:rPr>
          <w:rFonts w:hint="eastAsia" w:hAnsi="宋体"/>
          <w:sz w:val="24"/>
          <w:szCs w:val="24"/>
        </w:rPr>
        <w:t xml:space="preserve">2.1.1  </w:t>
      </w:r>
      <w:r>
        <w:rPr>
          <w:rFonts w:hAnsi="宋体"/>
          <w:sz w:val="24"/>
          <w:szCs w:val="24"/>
        </w:rPr>
        <w:t>投标人申报的关于资质、业绩等的文件和材料必须真实准确，不得弄虚作假。</w:t>
      </w:r>
    </w:p>
    <w:p>
      <w:pPr>
        <w:pStyle w:val="13"/>
        <w:spacing w:line="360" w:lineRule="auto"/>
        <w:ind w:firstLine="0"/>
        <w:rPr>
          <w:rFonts w:hAnsi="宋体"/>
          <w:sz w:val="24"/>
          <w:szCs w:val="24"/>
        </w:rPr>
      </w:pPr>
      <w:r>
        <w:rPr>
          <w:rFonts w:hint="eastAsia" w:hAnsi="宋体"/>
          <w:sz w:val="24"/>
          <w:szCs w:val="24"/>
        </w:rPr>
        <w:t xml:space="preserve">2.1.2  </w:t>
      </w:r>
      <w:r>
        <w:rPr>
          <w:rFonts w:hAnsi="宋体"/>
          <w:sz w:val="24"/>
          <w:szCs w:val="24"/>
        </w:rPr>
        <w:t>投标人不得串通作弊，哄抬标价，致使定标困难或无法定标。</w:t>
      </w:r>
    </w:p>
    <w:p>
      <w:pPr>
        <w:pStyle w:val="13"/>
        <w:spacing w:line="360" w:lineRule="auto"/>
        <w:ind w:firstLine="0"/>
        <w:rPr>
          <w:rFonts w:hAnsi="宋体"/>
          <w:sz w:val="24"/>
          <w:szCs w:val="24"/>
        </w:rPr>
      </w:pPr>
      <w:r>
        <w:rPr>
          <w:rFonts w:hint="eastAsia" w:hAnsi="宋体"/>
          <w:sz w:val="24"/>
          <w:szCs w:val="24"/>
        </w:rPr>
        <w:t xml:space="preserve">2.1.3  </w:t>
      </w:r>
      <w:r>
        <w:rPr>
          <w:rFonts w:hAnsi="宋体"/>
          <w:sz w:val="24"/>
          <w:szCs w:val="24"/>
        </w:rPr>
        <w:t>投标人不得采用不正当手段妨碍、排挤其它投标人，破坏公平竞争。</w:t>
      </w:r>
    </w:p>
    <w:p>
      <w:pPr>
        <w:pStyle w:val="13"/>
        <w:spacing w:line="360" w:lineRule="auto"/>
        <w:ind w:firstLine="0"/>
        <w:rPr>
          <w:rFonts w:hAnsi="宋体"/>
          <w:sz w:val="24"/>
          <w:szCs w:val="24"/>
        </w:rPr>
      </w:pPr>
      <w:r>
        <w:rPr>
          <w:rFonts w:hint="eastAsia" w:hAnsi="宋体"/>
          <w:sz w:val="24"/>
          <w:szCs w:val="24"/>
        </w:rPr>
        <w:t xml:space="preserve">2.1.4  </w:t>
      </w:r>
      <w:r>
        <w:rPr>
          <w:rFonts w:hAnsi="宋体"/>
          <w:sz w:val="24"/>
          <w:szCs w:val="24"/>
        </w:rPr>
        <w:t>投标人不得打听和搜集评标机密，不得以任何形式干扰评标或授标工作。</w:t>
      </w:r>
    </w:p>
    <w:p>
      <w:pPr>
        <w:pStyle w:val="13"/>
        <w:spacing w:line="360" w:lineRule="auto"/>
        <w:ind w:firstLine="0"/>
        <w:rPr>
          <w:rFonts w:hAnsi="宋体"/>
          <w:sz w:val="24"/>
          <w:szCs w:val="24"/>
        </w:rPr>
      </w:pPr>
      <w:r>
        <w:rPr>
          <w:rFonts w:hint="eastAsia" w:hAnsi="宋体"/>
          <w:sz w:val="24"/>
          <w:szCs w:val="24"/>
        </w:rPr>
        <w:t xml:space="preserve">2.1.5  </w:t>
      </w:r>
      <w:r>
        <w:rPr>
          <w:rFonts w:hAnsi="宋体"/>
          <w:sz w:val="24"/>
          <w:szCs w:val="24"/>
        </w:rPr>
        <w:t>投标人若违反上述要求，其投标将被废除。</w:t>
      </w:r>
    </w:p>
    <w:p>
      <w:pPr>
        <w:pStyle w:val="13"/>
        <w:spacing w:line="360" w:lineRule="auto"/>
        <w:ind w:firstLine="0"/>
        <w:rPr>
          <w:rFonts w:hAnsi="宋体"/>
          <w:sz w:val="24"/>
          <w:szCs w:val="24"/>
        </w:rPr>
      </w:pPr>
      <w:r>
        <w:rPr>
          <w:rFonts w:hint="eastAsia" w:hAnsi="宋体"/>
          <w:sz w:val="24"/>
          <w:szCs w:val="24"/>
        </w:rPr>
        <w:t xml:space="preserve">2.1.6  </w:t>
      </w:r>
      <w:r>
        <w:rPr>
          <w:rFonts w:hAnsi="宋体"/>
          <w:sz w:val="24"/>
          <w:szCs w:val="24"/>
        </w:rPr>
        <w:t>投标人应仔细阅读本</w:t>
      </w:r>
      <w:r>
        <w:rPr>
          <w:rFonts w:hint="eastAsia" w:hAnsi="宋体"/>
          <w:sz w:val="24"/>
          <w:szCs w:val="24"/>
        </w:rPr>
        <w:t>招标</w:t>
      </w:r>
      <w:r>
        <w:rPr>
          <w:rFonts w:hAnsi="宋体"/>
          <w:sz w:val="24"/>
          <w:szCs w:val="24"/>
        </w:rPr>
        <w:t>文件，严格按照本</w:t>
      </w:r>
      <w:r>
        <w:rPr>
          <w:rFonts w:hint="eastAsia" w:hAnsi="宋体"/>
          <w:sz w:val="24"/>
          <w:szCs w:val="24"/>
        </w:rPr>
        <w:t>招标</w:t>
      </w:r>
      <w:r>
        <w:rPr>
          <w:rFonts w:hAnsi="宋体"/>
          <w:sz w:val="24"/>
          <w:szCs w:val="24"/>
        </w:rPr>
        <w:t>文件的内容和要求编制应答文件</w:t>
      </w:r>
      <w:r>
        <w:rPr>
          <w:rFonts w:hint="eastAsia" w:hAnsi="宋体"/>
          <w:sz w:val="24"/>
          <w:szCs w:val="24"/>
        </w:rPr>
        <w:t>，</w:t>
      </w:r>
      <w:r>
        <w:rPr>
          <w:rFonts w:hAnsi="宋体"/>
          <w:sz w:val="24"/>
          <w:szCs w:val="24"/>
        </w:rPr>
        <w:t>并承担应答文件编制和递交过程中的一切费用和风险。</w:t>
      </w:r>
    </w:p>
    <w:p>
      <w:pPr>
        <w:spacing w:after="156" w:afterLines="50" w:line="360" w:lineRule="auto"/>
        <w:ind w:left="142"/>
        <w:outlineLvl w:val="1"/>
        <w:rPr>
          <w:rFonts w:hAnsi="宋体"/>
          <w:b/>
          <w:sz w:val="24"/>
        </w:rPr>
      </w:pPr>
      <w:bookmarkStart w:id="23" w:name="_Toc215567882"/>
      <w:r>
        <w:rPr>
          <w:rFonts w:hint="eastAsia" w:hAnsi="宋体"/>
          <w:b/>
          <w:sz w:val="24"/>
        </w:rPr>
        <w:t xml:space="preserve">2.2 </w:t>
      </w:r>
      <w:bookmarkStart w:id="24" w:name="_Toc517076101"/>
      <w:r>
        <w:rPr>
          <w:rFonts w:hint="eastAsia" w:hAnsi="宋体"/>
          <w:b/>
          <w:sz w:val="24"/>
        </w:rPr>
        <w:t>应答文件开封</w:t>
      </w:r>
      <w:bookmarkEnd w:id="23"/>
      <w:bookmarkEnd w:id="24"/>
    </w:p>
    <w:p>
      <w:pPr>
        <w:spacing w:line="360" w:lineRule="auto"/>
        <w:rPr>
          <w:rFonts w:hAnsi="宋体"/>
          <w:sz w:val="24"/>
        </w:rPr>
      </w:pPr>
      <w:r>
        <w:rPr>
          <w:rFonts w:hint="eastAsia" w:hAnsi="宋体"/>
          <w:sz w:val="24"/>
        </w:rPr>
        <w:t>2.2.1   收到可“撤回”通知的应答文件将不予开封。</w:t>
      </w:r>
    </w:p>
    <w:p>
      <w:pPr>
        <w:spacing w:line="360" w:lineRule="auto"/>
        <w:rPr>
          <w:rFonts w:hAnsi="宋体"/>
          <w:sz w:val="24"/>
        </w:rPr>
      </w:pPr>
      <w:r>
        <w:rPr>
          <w:rFonts w:hint="eastAsia" w:hAnsi="宋体"/>
          <w:sz w:val="24"/>
        </w:rPr>
        <w:t>2.2.2   迟到的应答文件将原封退回投标人。</w:t>
      </w:r>
    </w:p>
    <w:p>
      <w:pPr>
        <w:spacing w:after="156" w:afterLines="50" w:line="360" w:lineRule="auto"/>
        <w:ind w:left="142"/>
        <w:outlineLvl w:val="1"/>
        <w:rPr>
          <w:rFonts w:hAnsi="宋体"/>
          <w:b/>
          <w:sz w:val="24"/>
        </w:rPr>
      </w:pPr>
      <w:bookmarkStart w:id="25" w:name="_Toc215567885"/>
      <w:bookmarkStart w:id="26" w:name="_Toc517076102"/>
      <w:r>
        <w:rPr>
          <w:rFonts w:hint="eastAsia" w:hAnsi="宋体"/>
          <w:b/>
          <w:sz w:val="24"/>
        </w:rPr>
        <w:t>2.3</w:t>
      </w:r>
      <w:r>
        <w:rPr>
          <w:rFonts w:hAnsi="宋体"/>
          <w:b/>
          <w:sz w:val="24"/>
        </w:rPr>
        <w:t>招标文件的评审</w:t>
      </w:r>
      <w:bookmarkEnd w:id="25"/>
      <w:bookmarkEnd w:id="26"/>
    </w:p>
    <w:p>
      <w:pPr>
        <w:spacing w:line="360" w:lineRule="auto"/>
        <w:rPr>
          <w:rFonts w:hAnsi="宋体"/>
          <w:sz w:val="24"/>
        </w:rPr>
      </w:pPr>
      <w:r>
        <w:rPr>
          <w:rFonts w:hint="eastAsia" w:hAnsi="宋体"/>
          <w:sz w:val="24"/>
        </w:rPr>
        <w:t xml:space="preserve">2.3.1   </w:t>
      </w:r>
      <w:r>
        <w:rPr>
          <w:rFonts w:hAnsi="宋体"/>
          <w:sz w:val="24"/>
        </w:rPr>
        <w:t>截止时间之后的应答文件将不被接收。未加盖法人章、应答文件未密封、候选投标人无授权，将视为无效应答文件。</w:t>
      </w:r>
    </w:p>
    <w:p>
      <w:pPr>
        <w:spacing w:line="360" w:lineRule="auto"/>
        <w:rPr>
          <w:rFonts w:hAnsi="宋体"/>
          <w:sz w:val="28"/>
          <w:szCs w:val="28"/>
        </w:rPr>
      </w:pPr>
      <w:r>
        <w:rPr>
          <w:rFonts w:hint="eastAsia" w:hAnsi="宋体"/>
          <w:sz w:val="24"/>
        </w:rPr>
        <w:t>2.3.2 不当场开标，采购人不向投标人解释未中标的原因，不退还投标文件。</w:t>
      </w:r>
    </w:p>
    <w:p>
      <w:pPr>
        <w:spacing w:line="360" w:lineRule="auto"/>
        <w:rPr>
          <w:rFonts w:hAnsi="宋体"/>
          <w:sz w:val="24"/>
        </w:rPr>
      </w:pPr>
      <w:r>
        <w:rPr>
          <w:rFonts w:hint="eastAsia" w:hAnsi="宋体"/>
          <w:sz w:val="24"/>
        </w:rPr>
        <w:t xml:space="preserve">2.3.3 </w:t>
      </w:r>
      <w:r>
        <w:rPr>
          <w:rFonts w:hAnsi="宋体"/>
          <w:sz w:val="24"/>
        </w:rPr>
        <w:t>中标人应在收到《中标通知书》后5天内与招标人签订合同。</w:t>
      </w:r>
      <w:bookmarkStart w:id="27" w:name="_Toc215567886"/>
      <w:bookmarkStart w:id="28" w:name="_Toc199222401"/>
    </w:p>
    <w:p>
      <w:pPr>
        <w:spacing w:after="156" w:afterLines="50" w:line="360" w:lineRule="auto"/>
        <w:ind w:left="142"/>
        <w:outlineLvl w:val="1"/>
        <w:rPr>
          <w:rFonts w:hAnsi="宋体"/>
          <w:b/>
          <w:sz w:val="24"/>
        </w:rPr>
      </w:pPr>
      <w:bookmarkStart w:id="29" w:name="_Toc517076103"/>
      <w:r>
        <w:rPr>
          <w:rFonts w:hint="eastAsia" w:hAnsi="宋体"/>
          <w:b/>
          <w:sz w:val="24"/>
        </w:rPr>
        <w:t>2.4应答文件的澄清</w:t>
      </w:r>
      <w:bookmarkEnd w:id="27"/>
      <w:bookmarkEnd w:id="28"/>
      <w:bookmarkEnd w:id="29"/>
    </w:p>
    <w:p>
      <w:pPr>
        <w:pStyle w:val="34"/>
        <w:spacing w:before="0" w:after="0" w:line="360" w:lineRule="auto"/>
        <w:ind w:left="0" w:firstLine="480" w:firstLineChars="200"/>
        <w:rPr>
          <w:rFonts w:hAnsi="宋体"/>
          <w:b w:val="0"/>
          <w:bCs/>
          <w:szCs w:val="24"/>
        </w:rPr>
      </w:pPr>
      <w:r>
        <w:rPr>
          <w:rFonts w:hint="eastAsia" w:hAnsi="宋体"/>
          <w:b w:val="0"/>
          <w:bCs/>
          <w:szCs w:val="24"/>
        </w:rPr>
        <w:t>为有助于对投标书的审查、评价和比较，评标期间可分别要求投标人对其应答文件进行澄清或答疑，有关澄清或答疑要求的答复应以书面形式提交，但不得对投标报价或实质性内容做任何修改。</w:t>
      </w:r>
    </w:p>
    <w:p>
      <w:pPr>
        <w:spacing w:after="156" w:afterLines="50" w:line="360" w:lineRule="auto"/>
        <w:ind w:left="142"/>
        <w:outlineLvl w:val="1"/>
        <w:rPr>
          <w:rFonts w:hAnsi="宋体"/>
          <w:b/>
          <w:sz w:val="24"/>
        </w:rPr>
      </w:pPr>
      <w:bookmarkStart w:id="30" w:name="_Toc517076104"/>
      <w:bookmarkStart w:id="31" w:name="_Toc211192937"/>
      <w:bookmarkStart w:id="32" w:name="_Toc215567887"/>
      <w:r>
        <w:rPr>
          <w:rFonts w:hint="eastAsia" w:hAnsi="宋体"/>
          <w:b/>
          <w:sz w:val="24"/>
        </w:rPr>
        <w:t>2.5应答文件</w:t>
      </w:r>
      <w:r>
        <w:rPr>
          <w:rFonts w:hAnsi="宋体"/>
          <w:b/>
          <w:sz w:val="24"/>
        </w:rPr>
        <w:t>拒绝</w:t>
      </w:r>
      <w:bookmarkEnd w:id="30"/>
      <w:bookmarkEnd w:id="31"/>
      <w:bookmarkEnd w:id="32"/>
    </w:p>
    <w:p>
      <w:pPr>
        <w:pStyle w:val="34"/>
        <w:spacing w:before="0" w:after="0" w:line="360" w:lineRule="auto"/>
        <w:ind w:left="0" w:firstLine="480" w:firstLineChars="200"/>
        <w:rPr>
          <w:rFonts w:hAnsi="宋体"/>
          <w:b w:val="0"/>
          <w:bCs/>
          <w:szCs w:val="24"/>
        </w:rPr>
      </w:pPr>
      <w:r>
        <w:rPr>
          <w:rFonts w:hAnsi="宋体"/>
          <w:b w:val="0"/>
          <w:bCs/>
          <w:szCs w:val="24"/>
        </w:rPr>
        <w:t>在合同签订之前</w:t>
      </w:r>
      <w:r>
        <w:rPr>
          <w:b w:val="0"/>
          <w:bCs/>
          <w:szCs w:val="24"/>
        </w:rPr>
        <w:t>，</w:t>
      </w:r>
      <w:r>
        <w:rPr>
          <w:rFonts w:hAnsi="宋体"/>
          <w:b w:val="0"/>
          <w:bCs/>
          <w:szCs w:val="24"/>
        </w:rPr>
        <w:t>招标人保留在任何时候接受或者拒绝任何一个投标</w:t>
      </w:r>
      <w:r>
        <w:rPr>
          <w:b w:val="0"/>
          <w:bCs/>
          <w:szCs w:val="24"/>
        </w:rPr>
        <w:t>，</w:t>
      </w:r>
      <w:r>
        <w:rPr>
          <w:rFonts w:hAnsi="宋体"/>
          <w:b w:val="0"/>
          <w:bCs/>
          <w:szCs w:val="24"/>
        </w:rPr>
        <w:t>宣布投标过程无效和拒绝所有的投标权力</w:t>
      </w:r>
      <w:r>
        <w:rPr>
          <w:rFonts w:hint="eastAsia"/>
          <w:b w:val="0"/>
          <w:bCs/>
          <w:szCs w:val="24"/>
        </w:rPr>
        <w:t>，</w:t>
      </w:r>
      <w:r>
        <w:rPr>
          <w:rFonts w:hAnsi="宋体"/>
          <w:b w:val="0"/>
          <w:bCs/>
          <w:szCs w:val="24"/>
        </w:rPr>
        <w:t>而且不须对受此影响的投标人或投标团体负任何责任</w:t>
      </w:r>
      <w:r>
        <w:rPr>
          <w:rFonts w:hint="eastAsia"/>
          <w:b w:val="0"/>
          <w:bCs/>
          <w:szCs w:val="24"/>
        </w:rPr>
        <w:t>，</w:t>
      </w:r>
      <w:r>
        <w:rPr>
          <w:rFonts w:hAnsi="宋体"/>
          <w:b w:val="0"/>
          <w:bCs/>
          <w:szCs w:val="24"/>
        </w:rPr>
        <w:t>不负责将招标人行为的背景通知给受此影响的投标人或投标团体。</w:t>
      </w:r>
    </w:p>
    <w:p>
      <w:pPr>
        <w:spacing w:after="156" w:afterLines="50" w:line="360" w:lineRule="auto"/>
        <w:ind w:left="142"/>
        <w:outlineLvl w:val="1"/>
        <w:rPr>
          <w:rFonts w:hAnsi="宋体"/>
          <w:b/>
          <w:sz w:val="24"/>
        </w:rPr>
      </w:pPr>
      <w:bookmarkStart w:id="33" w:name="_Toc215567889"/>
      <w:bookmarkStart w:id="34" w:name="_Toc517076105"/>
      <w:r>
        <w:rPr>
          <w:rFonts w:hint="eastAsia" w:hAnsi="宋体"/>
          <w:b/>
          <w:sz w:val="24"/>
        </w:rPr>
        <w:t>2.6</w:t>
      </w:r>
      <w:r>
        <w:rPr>
          <w:rFonts w:hAnsi="宋体"/>
          <w:b/>
          <w:sz w:val="24"/>
        </w:rPr>
        <w:t>合同谈判及授予</w:t>
      </w:r>
      <w:bookmarkEnd w:id="33"/>
      <w:bookmarkEnd w:id="34"/>
    </w:p>
    <w:p>
      <w:pPr>
        <w:spacing w:line="360" w:lineRule="auto"/>
        <w:rPr>
          <w:rFonts w:hAnsi="宋体"/>
          <w:sz w:val="24"/>
        </w:rPr>
      </w:pPr>
      <w:r>
        <w:rPr>
          <w:rFonts w:hint="eastAsia" w:hAnsi="宋体"/>
          <w:sz w:val="24"/>
        </w:rPr>
        <w:t xml:space="preserve">2.6.1  </w:t>
      </w:r>
      <w:r>
        <w:rPr>
          <w:rFonts w:hAnsi="宋体"/>
          <w:sz w:val="24"/>
        </w:rPr>
        <w:t>招标人保留调整招标范围、技术条款的权利。</w:t>
      </w:r>
    </w:p>
    <w:p>
      <w:pPr>
        <w:spacing w:line="360" w:lineRule="auto"/>
        <w:rPr>
          <w:rFonts w:hAnsi="宋体"/>
          <w:sz w:val="24"/>
        </w:rPr>
      </w:pPr>
      <w:r>
        <w:rPr>
          <w:rFonts w:hint="eastAsia" w:hAnsi="宋体"/>
          <w:sz w:val="24"/>
        </w:rPr>
        <w:t xml:space="preserve">2.6.2  </w:t>
      </w:r>
      <w:r>
        <w:rPr>
          <w:rFonts w:hAnsi="宋体"/>
          <w:sz w:val="24"/>
        </w:rPr>
        <w:t>在授予合同前的任何时候，招标人有权有选择地接受或拒绝任何报价。</w:t>
      </w:r>
    </w:p>
    <w:p>
      <w:pPr>
        <w:spacing w:after="156" w:afterLines="50" w:line="360" w:lineRule="auto"/>
        <w:ind w:left="142"/>
        <w:outlineLvl w:val="1"/>
        <w:rPr>
          <w:rFonts w:hAnsi="宋体"/>
          <w:b/>
          <w:sz w:val="24"/>
        </w:rPr>
      </w:pPr>
      <w:bookmarkStart w:id="35" w:name="_Toc517076106"/>
      <w:bookmarkStart w:id="36" w:name="_Toc215567890"/>
      <w:r>
        <w:rPr>
          <w:rFonts w:hint="eastAsia" w:hAnsi="宋体"/>
          <w:b/>
          <w:sz w:val="24"/>
        </w:rPr>
        <w:t>2.7</w:t>
      </w:r>
      <w:r>
        <w:rPr>
          <w:rFonts w:hAnsi="宋体"/>
          <w:b/>
          <w:sz w:val="24"/>
        </w:rPr>
        <w:t>其他要求</w:t>
      </w:r>
      <w:bookmarkEnd w:id="35"/>
      <w:bookmarkEnd w:id="36"/>
    </w:p>
    <w:p>
      <w:pPr>
        <w:spacing w:line="360" w:lineRule="auto"/>
        <w:rPr>
          <w:rFonts w:ascii="宋体" w:hAnsi="宋体"/>
          <w:sz w:val="24"/>
        </w:rPr>
      </w:pPr>
      <w:r>
        <w:rPr>
          <w:rFonts w:hint="eastAsia" w:ascii="宋体" w:hAnsi="宋体"/>
          <w:sz w:val="24"/>
        </w:rPr>
        <w:t xml:space="preserve">2.7.1  </w:t>
      </w:r>
      <w:r>
        <w:rPr>
          <w:rFonts w:ascii="宋体" w:hAnsi="宋体"/>
          <w:sz w:val="24"/>
        </w:rPr>
        <w:t>投标人应保证招标人不因使用了投标人提供的第三方软件而产生侵权，若有任何侵权行为，投标人必须承担由此产生的一切索赔和责任。</w:t>
      </w:r>
    </w:p>
    <w:p>
      <w:pPr>
        <w:spacing w:line="360" w:lineRule="auto"/>
        <w:rPr>
          <w:rFonts w:ascii="宋体" w:hAnsi="宋体"/>
          <w:sz w:val="24"/>
        </w:rPr>
      </w:pPr>
      <w:r>
        <w:rPr>
          <w:rFonts w:hint="eastAsia" w:ascii="宋体" w:hAnsi="宋体"/>
          <w:sz w:val="24"/>
        </w:rPr>
        <w:t xml:space="preserve">2.7.2  </w:t>
      </w:r>
      <w:r>
        <w:rPr>
          <w:rFonts w:ascii="宋体" w:hAnsi="宋体"/>
          <w:sz w:val="24"/>
        </w:rPr>
        <w:t>招标人利用投标人提交的技术服务工作成果所完成的新的技术成果，归双方所有。</w:t>
      </w:r>
    </w:p>
    <w:p>
      <w:pPr>
        <w:spacing w:line="360" w:lineRule="auto"/>
        <w:rPr>
          <w:rFonts w:hAnsi="宋体"/>
          <w:sz w:val="24"/>
        </w:rPr>
      </w:pPr>
      <w:r>
        <w:rPr>
          <w:rFonts w:hint="eastAsia" w:ascii="宋体" w:hAnsi="宋体"/>
          <w:sz w:val="24"/>
        </w:rPr>
        <w:t xml:space="preserve">2.7.3  </w:t>
      </w:r>
      <w:r>
        <w:rPr>
          <w:rFonts w:ascii="宋体" w:hAnsi="宋体"/>
          <w:sz w:val="24"/>
        </w:rPr>
        <w:t>投标人</w:t>
      </w:r>
      <w:r>
        <w:rPr>
          <w:rFonts w:hAnsi="宋体"/>
          <w:sz w:val="24"/>
        </w:rPr>
        <w:t>利用招标人提供的技术资料和工作条件所完成的新的技术成果，归双方所有。</w:t>
      </w:r>
    </w:p>
    <w:p>
      <w:pPr>
        <w:pStyle w:val="13"/>
        <w:spacing w:line="360" w:lineRule="auto"/>
        <w:ind w:firstLine="0"/>
        <w:rPr>
          <w:rFonts w:hAnsi="宋体"/>
          <w:sz w:val="24"/>
        </w:rPr>
      </w:pPr>
    </w:p>
    <w:p>
      <w:pPr>
        <w:pStyle w:val="13"/>
        <w:spacing w:line="480" w:lineRule="auto"/>
        <w:ind w:firstLine="6720" w:firstLineChars="2800"/>
        <w:rPr>
          <w:rFonts w:hAnsi="宋体"/>
          <w:sz w:val="24"/>
          <w:szCs w:val="24"/>
        </w:rPr>
      </w:pPr>
      <w:r>
        <w:rPr>
          <w:rFonts w:hint="eastAsia" w:hAnsi="宋体"/>
          <w:sz w:val="24"/>
        </w:rPr>
        <w:t>安徽职业技术学院</w:t>
      </w:r>
    </w:p>
    <w:p>
      <w:pPr>
        <w:spacing w:line="480" w:lineRule="auto"/>
        <w:ind w:firstLine="6720" w:firstLineChars="2800"/>
        <w:rPr>
          <w:rFonts w:hAnsi="宋体"/>
          <w:sz w:val="24"/>
        </w:rPr>
      </w:pPr>
      <w:r>
        <w:rPr>
          <w:rFonts w:hint="eastAsia" w:hAnsi="宋体"/>
          <w:sz w:val="24"/>
        </w:rPr>
        <w:t>日期:201</w:t>
      </w:r>
      <w:r>
        <w:rPr>
          <w:rFonts w:hAnsi="宋体"/>
          <w:sz w:val="24"/>
        </w:rPr>
        <w:t>8</w:t>
      </w:r>
      <w:r>
        <w:rPr>
          <w:rFonts w:hint="eastAsia" w:hAnsi="宋体"/>
          <w:sz w:val="24"/>
        </w:rPr>
        <w:t>年 7</w:t>
      </w:r>
      <w:r>
        <w:rPr>
          <w:rFonts w:hAnsi="宋体"/>
          <w:sz w:val="24"/>
        </w:rPr>
        <w:t xml:space="preserve"> </w:t>
      </w:r>
      <w:r>
        <w:rPr>
          <w:rFonts w:hint="eastAsia" w:hAnsi="宋体"/>
          <w:sz w:val="24"/>
        </w:rPr>
        <w:t>月 12</w:t>
      </w:r>
      <w:r>
        <w:rPr>
          <w:rFonts w:hAnsi="宋体"/>
          <w:sz w:val="24"/>
        </w:rPr>
        <w:t xml:space="preserve"> </w:t>
      </w:r>
      <w:r>
        <w:rPr>
          <w:rFonts w:hint="eastAsia" w:hAnsi="宋体"/>
          <w:sz w:val="24"/>
        </w:rPr>
        <w:t>日</w:t>
      </w:r>
    </w:p>
    <w:sectPr>
      <w:pgSz w:w="11906" w:h="16838"/>
      <w:pgMar w:top="1134" w:right="1134" w:bottom="1134" w:left="1134" w:header="567" w:footer="567" w:gutter="0"/>
      <w:pgNumType w:start="1" w:chapStyle="1" w:chapSep="emDash"/>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00007A87" w:usb1="80000000" w:usb2="00000008" w:usb3="00000000" w:csb0="400001FF" w:csb1="FFFF0000"/>
  </w:font>
  <w:font w:name="等线 Light">
    <w:altName w:val="Arial Unicode MS"/>
    <w:panose1 w:val="00000000000000000000"/>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00000287" w:usb1="00000000" w:usb2="00000000" w:usb3="00000000" w:csb0="2000019F" w:csb1="00000000"/>
  </w:font>
  <w:font w:name="å®‹ä½“">
    <w:altName w:val="宋体"/>
    <w:panose1 w:val="00000000000000000000"/>
    <w:charset w:val="86"/>
    <w:family w:val="roman"/>
    <w:pitch w:val="default"/>
    <w:sig w:usb0="00000000" w:usb1="00000000" w:usb2="00000010" w:usb3="00000000" w:csb0="00040000" w:csb1="00000000"/>
  </w:font>
  <w:font w:name="仿宋">
    <w:altName w:val="Arial Unicode MS"/>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等线 Light">
    <w:altName w:val="Latha"/>
    <w:panose1 w:val="00000000000000000000"/>
    <w:charset w:val="00"/>
    <w:family w:val="auto"/>
    <w:pitch w:val="default"/>
    <w:sig w:usb0="00000000" w:usb1="00000000" w:usb2="00000000" w:usb3="00000000" w:csb0="00000000" w:csb1="00000000"/>
  </w:font>
  <w:font w:name="Latha">
    <w:panose1 w:val="02000400000000000000"/>
    <w:charset w:val="00"/>
    <w:family w:val="auto"/>
    <w:pitch w:val="default"/>
    <w:sig w:usb0="001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wordWrap w:val="0"/>
      <w:jc w:val="right"/>
      <w:rPr>
        <w:sz w:val="21"/>
        <w:szCs w:val="21"/>
      </w:rPr>
    </w:pPr>
    <w:r>
      <w:rPr>
        <w:rFonts w:hint="eastAsia"/>
        <w:sz w:val="21"/>
        <w:szCs w:val="21"/>
      </w:rPr>
      <w:t>信息系统安全等级保护测评服务</w:t>
    </w:r>
    <w:r>
      <w:rPr>
        <w:rFonts w:hint="eastAsia"/>
      </w:rPr>
      <w:t xml:space="preserve">                                  </w:t>
    </w:r>
    <w:r>
      <w:t xml:space="preserve">             </w:t>
    </w:r>
    <w:r>
      <w:rPr>
        <w:rFonts w:hint="eastAsia"/>
      </w:rPr>
      <w:t xml:space="preserve">  </w:t>
    </w:r>
    <w:r>
      <w:rPr>
        <w:rFonts w:hint="eastAsia"/>
        <w:sz w:val="21"/>
        <w:szCs w:val="21"/>
      </w:rPr>
      <w:t xml:space="preserve">    </w:t>
    </w:r>
    <w:r>
      <w:rPr>
        <w:rFonts w:hint="eastAsia"/>
        <w:kern w:val="0"/>
        <w:sz w:val="21"/>
        <w:szCs w:val="21"/>
      </w:rPr>
      <w:t>招标采购文件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right" w:y="1"/>
      <w:rPr>
        <w:rStyle w:val="28"/>
      </w:rPr>
    </w:pPr>
    <w:r>
      <w:rPr>
        <w:rStyle w:val="28"/>
      </w:rPr>
      <w:fldChar w:fldCharType="begin"/>
    </w:r>
    <w:r>
      <w:rPr>
        <w:rStyle w:val="28"/>
      </w:rPr>
      <w:instrText xml:space="preserve">PAGE  </w:instrText>
    </w:r>
    <w:r>
      <w:rPr>
        <w:rStyle w:val="28"/>
      </w:rPr>
      <w:fldChar w:fldCharType="end"/>
    </w:r>
  </w:p>
  <w:p>
    <w:pPr>
      <w:pStyle w:val="22"/>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12471"/>
    <w:multiLevelType w:val="multilevel"/>
    <w:tmpl w:val="12C12471"/>
    <w:lvl w:ilvl="0" w:tentative="0">
      <w:start w:val="1"/>
      <w:numFmt w:val="decimal"/>
      <w:pStyle w:val="3"/>
      <w:suff w:val="space"/>
      <w:lvlText w:val="%1"/>
      <w:lvlJc w:val="left"/>
      <w:pPr>
        <w:ind w:left="0" w:firstLine="0"/>
      </w:pPr>
      <w:rPr>
        <w:rFonts w:hint="eastAsia"/>
      </w:rPr>
    </w:lvl>
    <w:lvl w:ilvl="1" w:tentative="0">
      <w:start w:val="1"/>
      <w:numFmt w:val="decimal"/>
      <w:pStyle w:val="4"/>
      <w:suff w:val="space"/>
      <w:lvlText w:val="%1.%2"/>
      <w:lvlJc w:val="left"/>
      <w:pPr>
        <w:ind w:left="0" w:firstLine="0"/>
      </w:pPr>
      <w:rPr>
        <w:rFonts w:hint="eastAsia"/>
      </w:rPr>
    </w:lvl>
    <w:lvl w:ilvl="2" w:tentative="0">
      <w:start w:val="1"/>
      <w:numFmt w:val="decimal"/>
      <w:pStyle w:val="5"/>
      <w:suff w:val="space"/>
      <w:lvlText w:val="%1.%2.%3"/>
      <w:lvlJc w:val="left"/>
      <w:pPr>
        <w:ind w:left="0" w:firstLine="0"/>
      </w:pPr>
      <w:rPr>
        <w:rFonts w:hint="eastAsia"/>
      </w:rPr>
    </w:lvl>
    <w:lvl w:ilvl="3" w:tentative="0">
      <w:start w:val="1"/>
      <w:numFmt w:val="decimal"/>
      <w:suff w:val="space"/>
      <w:lvlText w:val="%1.%2.%3.%4"/>
      <w:lvlJc w:val="left"/>
      <w:pPr>
        <w:ind w:left="0" w:firstLine="0"/>
      </w:pPr>
      <w:rPr>
        <w:rFonts w:hint="eastAsia"/>
      </w:rPr>
    </w:lvl>
    <w:lvl w:ilvl="4" w:tentative="0">
      <w:start w:val="1"/>
      <w:numFmt w:val="decimal"/>
      <w:suff w:val="space"/>
      <w:lvlText w:val="%1.%2.%3.%4.%5"/>
      <w:lvlJc w:val="left"/>
      <w:pPr>
        <w:ind w:left="0" w:firstLine="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1A991BAC"/>
    <w:multiLevelType w:val="multilevel"/>
    <w:tmpl w:val="1A991BAC"/>
    <w:lvl w:ilvl="0" w:tentative="0">
      <w:start w:val="1"/>
      <w:numFmt w:val="decimal"/>
      <w:lvlText w:val="1.6.%1"/>
      <w:lvlJc w:val="left"/>
      <w:pPr>
        <w:tabs>
          <w:tab w:val="left" w:pos="360"/>
        </w:tabs>
        <w:ind w:left="360" w:hanging="360"/>
      </w:pPr>
      <w:rPr>
        <w:rFonts w:hint="eastAsia"/>
      </w:rPr>
    </w:lvl>
    <w:lvl w:ilvl="1" w:tentative="0">
      <w:start w:val="1"/>
      <w:numFmt w:val="decimal"/>
      <w:lvlText w:val="%1.%2"/>
      <w:lvlJc w:val="left"/>
      <w:pPr>
        <w:tabs>
          <w:tab w:val="left" w:pos="360"/>
        </w:tabs>
        <w:ind w:left="360" w:hanging="360"/>
      </w:pPr>
      <w:rPr>
        <w:rFonts w:hint="default" w:hAnsi="宋体"/>
      </w:rPr>
    </w:lvl>
    <w:lvl w:ilvl="2" w:tentative="0">
      <w:start w:val="1"/>
      <w:numFmt w:val="decimal"/>
      <w:lvlText w:val="%1.%2.%3"/>
      <w:lvlJc w:val="left"/>
      <w:pPr>
        <w:tabs>
          <w:tab w:val="left" w:pos="720"/>
        </w:tabs>
        <w:ind w:left="720" w:hanging="720"/>
      </w:pPr>
      <w:rPr>
        <w:rFonts w:hint="default" w:hAnsi="宋体"/>
      </w:rPr>
    </w:lvl>
    <w:lvl w:ilvl="3" w:tentative="0">
      <w:start w:val="1"/>
      <w:numFmt w:val="decimal"/>
      <w:lvlText w:val="%1.%2.%3.%4"/>
      <w:lvlJc w:val="left"/>
      <w:pPr>
        <w:tabs>
          <w:tab w:val="left" w:pos="720"/>
        </w:tabs>
        <w:ind w:left="720" w:hanging="720"/>
      </w:pPr>
      <w:rPr>
        <w:rFonts w:hint="default" w:hAnsi="宋体"/>
      </w:rPr>
    </w:lvl>
    <w:lvl w:ilvl="4" w:tentative="0">
      <w:start w:val="1"/>
      <w:numFmt w:val="decimal"/>
      <w:lvlText w:val="%1.%2.%3.%4.%5"/>
      <w:lvlJc w:val="left"/>
      <w:pPr>
        <w:tabs>
          <w:tab w:val="left" w:pos="1080"/>
        </w:tabs>
        <w:ind w:left="1080" w:hanging="1080"/>
      </w:pPr>
      <w:rPr>
        <w:rFonts w:hint="default" w:hAnsi="宋体"/>
      </w:rPr>
    </w:lvl>
    <w:lvl w:ilvl="5" w:tentative="0">
      <w:start w:val="1"/>
      <w:numFmt w:val="decimal"/>
      <w:lvlText w:val="%1.%2.%3.%4.%5.%6"/>
      <w:lvlJc w:val="left"/>
      <w:pPr>
        <w:tabs>
          <w:tab w:val="left" w:pos="1080"/>
        </w:tabs>
        <w:ind w:left="1080" w:hanging="1080"/>
      </w:pPr>
      <w:rPr>
        <w:rFonts w:hint="default" w:hAnsi="宋体"/>
      </w:rPr>
    </w:lvl>
    <w:lvl w:ilvl="6" w:tentative="0">
      <w:start w:val="1"/>
      <w:numFmt w:val="decimal"/>
      <w:lvlText w:val="%1.%2.%3.%4.%5.%6.%7"/>
      <w:lvlJc w:val="left"/>
      <w:pPr>
        <w:tabs>
          <w:tab w:val="left" w:pos="1440"/>
        </w:tabs>
        <w:ind w:left="1440" w:hanging="1440"/>
      </w:pPr>
      <w:rPr>
        <w:rFonts w:hint="default" w:hAnsi="宋体"/>
      </w:rPr>
    </w:lvl>
    <w:lvl w:ilvl="7" w:tentative="0">
      <w:start w:val="1"/>
      <w:numFmt w:val="decimal"/>
      <w:lvlText w:val="%1.%2.%3.%4.%5.%6.%7.%8"/>
      <w:lvlJc w:val="left"/>
      <w:pPr>
        <w:tabs>
          <w:tab w:val="left" w:pos="1440"/>
        </w:tabs>
        <w:ind w:left="1440" w:hanging="1440"/>
      </w:pPr>
      <w:rPr>
        <w:rFonts w:hint="default" w:hAnsi="宋体"/>
      </w:rPr>
    </w:lvl>
    <w:lvl w:ilvl="8" w:tentative="0">
      <w:start w:val="1"/>
      <w:numFmt w:val="decimal"/>
      <w:lvlText w:val="%1.%2.%3.%4.%5.%6.%7.%8.%9"/>
      <w:lvlJc w:val="left"/>
      <w:pPr>
        <w:tabs>
          <w:tab w:val="left" w:pos="1800"/>
        </w:tabs>
        <w:ind w:left="1800" w:hanging="1800"/>
      </w:pPr>
      <w:rPr>
        <w:rFonts w:hint="default" w:hAnsi="宋体"/>
      </w:rPr>
    </w:lvl>
  </w:abstractNum>
  <w:abstractNum w:abstractNumId="2">
    <w:nsid w:val="365A4D58"/>
    <w:multiLevelType w:val="multilevel"/>
    <w:tmpl w:val="365A4D58"/>
    <w:lvl w:ilvl="0" w:tentative="0">
      <w:start w:val="1"/>
      <w:numFmt w:val="decimal"/>
      <w:pStyle w:val="2"/>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3">
    <w:nsid w:val="7E3B73FF"/>
    <w:multiLevelType w:val="multilevel"/>
    <w:tmpl w:val="7E3B73FF"/>
    <w:lvl w:ilvl="0" w:tentative="0">
      <w:start w:val="1"/>
      <w:numFmt w:val="decimal"/>
      <w:lvlText w:val="1.5.%1"/>
      <w:lvlJc w:val="left"/>
      <w:pPr>
        <w:ind w:left="420" w:hanging="420"/>
      </w:pPr>
      <w:rPr>
        <w:rFonts w:hint="eastAsia"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6F5F"/>
    <w:rsid w:val="0000180C"/>
    <w:rsid w:val="00007D65"/>
    <w:rsid w:val="00013B8F"/>
    <w:rsid w:val="000339C4"/>
    <w:rsid w:val="00066A3F"/>
    <w:rsid w:val="000715C2"/>
    <w:rsid w:val="00071D6C"/>
    <w:rsid w:val="00087BAC"/>
    <w:rsid w:val="000A44A3"/>
    <w:rsid w:val="000B552F"/>
    <w:rsid w:val="000B7D79"/>
    <w:rsid w:val="000E0020"/>
    <w:rsid w:val="000E51A4"/>
    <w:rsid w:val="000F3683"/>
    <w:rsid w:val="00113BEB"/>
    <w:rsid w:val="00117B22"/>
    <w:rsid w:val="00124143"/>
    <w:rsid w:val="00126DD7"/>
    <w:rsid w:val="001309B7"/>
    <w:rsid w:val="00133AFB"/>
    <w:rsid w:val="00134418"/>
    <w:rsid w:val="001425C7"/>
    <w:rsid w:val="0015537C"/>
    <w:rsid w:val="00166B4F"/>
    <w:rsid w:val="00167293"/>
    <w:rsid w:val="001A0398"/>
    <w:rsid w:val="001A0ED2"/>
    <w:rsid w:val="001A2A1E"/>
    <w:rsid w:val="001B75A7"/>
    <w:rsid w:val="001D3D5B"/>
    <w:rsid w:val="001D5AA6"/>
    <w:rsid w:val="0020215E"/>
    <w:rsid w:val="00204B23"/>
    <w:rsid w:val="00212F09"/>
    <w:rsid w:val="00227D83"/>
    <w:rsid w:val="002367F8"/>
    <w:rsid w:val="00241944"/>
    <w:rsid w:val="00243CEF"/>
    <w:rsid w:val="0024702D"/>
    <w:rsid w:val="00256092"/>
    <w:rsid w:val="00264414"/>
    <w:rsid w:val="00266983"/>
    <w:rsid w:val="00270B77"/>
    <w:rsid w:val="002761DB"/>
    <w:rsid w:val="0027775A"/>
    <w:rsid w:val="00283106"/>
    <w:rsid w:val="00294247"/>
    <w:rsid w:val="002A3483"/>
    <w:rsid w:val="002B1DF5"/>
    <w:rsid w:val="002B1F5B"/>
    <w:rsid w:val="002C7A04"/>
    <w:rsid w:val="002D1A6A"/>
    <w:rsid w:val="002D57F4"/>
    <w:rsid w:val="002E6FD7"/>
    <w:rsid w:val="002E7AD7"/>
    <w:rsid w:val="0030745F"/>
    <w:rsid w:val="003140E6"/>
    <w:rsid w:val="00334D4E"/>
    <w:rsid w:val="003406B7"/>
    <w:rsid w:val="00344096"/>
    <w:rsid w:val="0038370B"/>
    <w:rsid w:val="00386D50"/>
    <w:rsid w:val="00390917"/>
    <w:rsid w:val="00394547"/>
    <w:rsid w:val="00396839"/>
    <w:rsid w:val="003A086A"/>
    <w:rsid w:val="003D770D"/>
    <w:rsid w:val="00416D37"/>
    <w:rsid w:val="00431E4F"/>
    <w:rsid w:val="004364B5"/>
    <w:rsid w:val="004409AB"/>
    <w:rsid w:val="00455C5E"/>
    <w:rsid w:val="00464F0F"/>
    <w:rsid w:val="00466342"/>
    <w:rsid w:val="004678D5"/>
    <w:rsid w:val="00471AD0"/>
    <w:rsid w:val="0047227B"/>
    <w:rsid w:val="00485DA5"/>
    <w:rsid w:val="004968C1"/>
    <w:rsid w:val="004A131A"/>
    <w:rsid w:val="004B1F67"/>
    <w:rsid w:val="004C08E3"/>
    <w:rsid w:val="004C3618"/>
    <w:rsid w:val="004D0678"/>
    <w:rsid w:val="004E460F"/>
    <w:rsid w:val="004F392B"/>
    <w:rsid w:val="00507963"/>
    <w:rsid w:val="0051430B"/>
    <w:rsid w:val="00554C14"/>
    <w:rsid w:val="005671DE"/>
    <w:rsid w:val="005674F4"/>
    <w:rsid w:val="005906EF"/>
    <w:rsid w:val="005A54BA"/>
    <w:rsid w:val="005B10B3"/>
    <w:rsid w:val="005B51FC"/>
    <w:rsid w:val="005B621B"/>
    <w:rsid w:val="005C4893"/>
    <w:rsid w:val="005D64FD"/>
    <w:rsid w:val="005E3DBF"/>
    <w:rsid w:val="00611E66"/>
    <w:rsid w:val="00615D14"/>
    <w:rsid w:val="00616ED5"/>
    <w:rsid w:val="00617DC2"/>
    <w:rsid w:val="00622A3C"/>
    <w:rsid w:val="00626A15"/>
    <w:rsid w:val="00630DCD"/>
    <w:rsid w:val="00636749"/>
    <w:rsid w:val="0064092E"/>
    <w:rsid w:val="006431C9"/>
    <w:rsid w:val="006518BA"/>
    <w:rsid w:val="00651C21"/>
    <w:rsid w:val="00654240"/>
    <w:rsid w:val="0065458C"/>
    <w:rsid w:val="00655692"/>
    <w:rsid w:val="00676DD4"/>
    <w:rsid w:val="006855FB"/>
    <w:rsid w:val="006C44C7"/>
    <w:rsid w:val="006D6095"/>
    <w:rsid w:val="006E2D31"/>
    <w:rsid w:val="006E3157"/>
    <w:rsid w:val="006E3F7F"/>
    <w:rsid w:val="006E7F35"/>
    <w:rsid w:val="006F307F"/>
    <w:rsid w:val="007042AF"/>
    <w:rsid w:val="00727577"/>
    <w:rsid w:val="00735BC8"/>
    <w:rsid w:val="007408A8"/>
    <w:rsid w:val="007434DC"/>
    <w:rsid w:val="00764910"/>
    <w:rsid w:val="00767C61"/>
    <w:rsid w:val="00771938"/>
    <w:rsid w:val="00776BD3"/>
    <w:rsid w:val="00777612"/>
    <w:rsid w:val="00785977"/>
    <w:rsid w:val="0078608B"/>
    <w:rsid w:val="00786E83"/>
    <w:rsid w:val="007A7DD1"/>
    <w:rsid w:val="007B7B9C"/>
    <w:rsid w:val="007C3A3E"/>
    <w:rsid w:val="007F6578"/>
    <w:rsid w:val="00811E06"/>
    <w:rsid w:val="0082469C"/>
    <w:rsid w:val="008359A6"/>
    <w:rsid w:val="00843C35"/>
    <w:rsid w:val="00854F3D"/>
    <w:rsid w:val="00864204"/>
    <w:rsid w:val="00895FF8"/>
    <w:rsid w:val="00896C18"/>
    <w:rsid w:val="008A10B0"/>
    <w:rsid w:val="008A2B02"/>
    <w:rsid w:val="008B380A"/>
    <w:rsid w:val="008C188F"/>
    <w:rsid w:val="008D057D"/>
    <w:rsid w:val="008D1BCA"/>
    <w:rsid w:val="008D793D"/>
    <w:rsid w:val="008E6137"/>
    <w:rsid w:val="008E64E9"/>
    <w:rsid w:val="00902722"/>
    <w:rsid w:val="009033DE"/>
    <w:rsid w:val="00940B7A"/>
    <w:rsid w:val="009435B9"/>
    <w:rsid w:val="00954F43"/>
    <w:rsid w:val="0096040B"/>
    <w:rsid w:val="00981A8C"/>
    <w:rsid w:val="009A160F"/>
    <w:rsid w:val="009A4E34"/>
    <w:rsid w:val="009B2B1A"/>
    <w:rsid w:val="009C2EF4"/>
    <w:rsid w:val="009C3CBC"/>
    <w:rsid w:val="009D0619"/>
    <w:rsid w:val="009E6F5F"/>
    <w:rsid w:val="009F4105"/>
    <w:rsid w:val="00A00D61"/>
    <w:rsid w:val="00A2093C"/>
    <w:rsid w:val="00A41CC5"/>
    <w:rsid w:val="00A47A42"/>
    <w:rsid w:val="00A57F4A"/>
    <w:rsid w:val="00A70518"/>
    <w:rsid w:val="00A8011C"/>
    <w:rsid w:val="00A90443"/>
    <w:rsid w:val="00A95A32"/>
    <w:rsid w:val="00A96B1B"/>
    <w:rsid w:val="00A96C07"/>
    <w:rsid w:val="00AC0B6C"/>
    <w:rsid w:val="00B0136A"/>
    <w:rsid w:val="00B044C7"/>
    <w:rsid w:val="00B06228"/>
    <w:rsid w:val="00B27C03"/>
    <w:rsid w:val="00B4024D"/>
    <w:rsid w:val="00B51881"/>
    <w:rsid w:val="00B519C1"/>
    <w:rsid w:val="00B5225F"/>
    <w:rsid w:val="00B843D2"/>
    <w:rsid w:val="00B91052"/>
    <w:rsid w:val="00B930DD"/>
    <w:rsid w:val="00BB6BBA"/>
    <w:rsid w:val="00BC22D6"/>
    <w:rsid w:val="00BF11CA"/>
    <w:rsid w:val="00BF3108"/>
    <w:rsid w:val="00C02589"/>
    <w:rsid w:val="00C105A7"/>
    <w:rsid w:val="00C11AF5"/>
    <w:rsid w:val="00C12DDC"/>
    <w:rsid w:val="00C216F9"/>
    <w:rsid w:val="00C3279F"/>
    <w:rsid w:val="00C33FE5"/>
    <w:rsid w:val="00C35DE4"/>
    <w:rsid w:val="00C40CF2"/>
    <w:rsid w:val="00C4636F"/>
    <w:rsid w:val="00C477CB"/>
    <w:rsid w:val="00C60F98"/>
    <w:rsid w:val="00C62FF7"/>
    <w:rsid w:val="00C63034"/>
    <w:rsid w:val="00C83170"/>
    <w:rsid w:val="00C85785"/>
    <w:rsid w:val="00C858F0"/>
    <w:rsid w:val="00CC48E3"/>
    <w:rsid w:val="00CE5B6A"/>
    <w:rsid w:val="00CF07FC"/>
    <w:rsid w:val="00CF1E03"/>
    <w:rsid w:val="00CF2D7B"/>
    <w:rsid w:val="00D276E8"/>
    <w:rsid w:val="00D32F19"/>
    <w:rsid w:val="00D76E81"/>
    <w:rsid w:val="00D85C20"/>
    <w:rsid w:val="00DA2DCE"/>
    <w:rsid w:val="00DB006B"/>
    <w:rsid w:val="00DC6C94"/>
    <w:rsid w:val="00DD3341"/>
    <w:rsid w:val="00DE1DB0"/>
    <w:rsid w:val="00DE2257"/>
    <w:rsid w:val="00DE575D"/>
    <w:rsid w:val="00DE64AA"/>
    <w:rsid w:val="00DF13F4"/>
    <w:rsid w:val="00E0784A"/>
    <w:rsid w:val="00E13370"/>
    <w:rsid w:val="00E23B9B"/>
    <w:rsid w:val="00E27874"/>
    <w:rsid w:val="00E638B7"/>
    <w:rsid w:val="00E65CB7"/>
    <w:rsid w:val="00E67D31"/>
    <w:rsid w:val="00E82490"/>
    <w:rsid w:val="00E91C2D"/>
    <w:rsid w:val="00E91C6C"/>
    <w:rsid w:val="00E91CB8"/>
    <w:rsid w:val="00E93CB4"/>
    <w:rsid w:val="00EA250D"/>
    <w:rsid w:val="00EA527C"/>
    <w:rsid w:val="00EA7A66"/>
    <w:rsid w:val="00EB422B"/>
    <w:rsid w:val="00EC5421"/>
    <w:rsid w:val="00ED10B0"/>
    <w:rsid w:val="00ED337F"/>
    <w:rsid w:val="00EE281A"/>
    <w:rsid w:val="00EF33D5"/>
    <w:rsid w:val="00F0769E"/>
    <w:rsid w:val="00F14743"/>
    <w:rsid w:val="00F2441B"/>
    <w:rsid w:val="00F25666"/>
    <w:rsid w:val="00F433DB"/>
    <w:rsid w:val="00F60B1C"/>
    <w:rsid w:val="00F64E50"/>
    <w:rsid w:val="00F71A13"/>
    <w:rsid w:val="00F72684"/>
    <w:rsid w:val="00F7393D"/>
    <w:rsid w:val="00F76833"/>
    <w:rsid w:val="00F908D4"/>
    <w:rsid w:val="00F94670"/>
    <w:rsid w:val="00F952D8"/>
    <w:rsid w:val="00FC2774"/>
    <w:rsid w:val="00FD5C0B"/>
    <w:rsid w:val="00FD67F8"/>
    <w:rsid w:val="00FE2B8D"/>
    <w:rsid w:val="00FF2141"/>
    <w:rsid w:val="0259371C"/>
    <w:rsid w:val="0FEC663E"/>
    <w:rsid w:val="129D4E26"/>
    <w:rsid w:val="15675A54"/>
    <w:rsid w:val="16196650"/>
    <w:rsid w:val="19D0437F"/>
    <w:rsid w:val="3111619A"/>
    <w:rsid w:val="5028424B"/>
    <w:rsid w:val="638E2150"/>
    <w:rsid w:val="77901025"/>
    <w:rsid w:val="7FD049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b/>
      <w:bCs/>
      <w:kern w:val="44"/>
      <w:sz w:val="44"/>
      <w:szCs w:val="44"/>
    </w:rPr>
  </w:style>
  <w:style w:type="paragraph" w:styleId="3">
    <w:name w:val="heading 2"/>
    <w:basedOn w:val="1"/>
    <w:next w:val="1"/>
    <w:qFormat/>
    <w:uiPriority w:val="0"/>
    <w:pPr>
      <w:keepNext/>
      <w:keepLines/>
      <w:numPr>
        <w:ilvl w:val="0"/>
        <w:numId w:val="2"/>
      </w:numPr>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numPr>
        <w:ilvl w:val="1"/>
        <w:numId w:val="2"/>
      </w:numPr>
      <w:spacing w:before="260" w:after="260" w:line="416" w:lineRule="auto"/>
      <w:outlineLvl w:val="2"/>
    </w:pPr>
    <w:rPr>
      <w:b/>
      <w:bCs/>
      <w:sz w:val="32"/>
      <w:szCs w:val="32"/>
    </w:rPr>
  </w:style>
  <w:style w:type="paragraph" w:styleId="5">
    <w:name w:val="heading 4"/>
    <w:basedOn w:val="1"/>
    <w:next w:val="1"/>
    <w:qFormat/>
    <w:uiPriority w:val="0"/>
    <w:pPr>
      <w:keepNext/>
      <w:keepLines/>
      <w:numPr>
        <w:ilvl w:val="2"/>
        <w:numId w:val="2"/>
      </w:numPr>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numPr>
        <w:ilvl w:val="4"/>
        <w:numId w:val="1"/>
      </w:numPr>
      <w:spacing w:before="280" w:after="290" w:line="376" w:lineRule="auto"/>
      <w:outlineLvl w:val="4"/>
    </w:pPr>
    <w:rPr>
      <w:b/>
      <w:bCs/>
      <w:sz w:val="28"/>
      <w:szCs w:val="28"/>
    </w:rPr>
  </w:style>
  <w:style w:type="paragraph" w:styleId="7">
    <w:name w:val="heading 6"/>
    <w:basedOn w:val="1"/>
    <w:next w:val="1"/>
    <w:qFormat/>
    <w:uiPriority w:val="0"/>
    <w:pPr>
      <w:keepNext/>
      <w:keepLines/>
      <w:numPr>
        <w:ilvl w:val="5"/>
        <w:numId w:val="1"/>
      </w:numPr>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numPr>
        <w:ilvl w:val="6"/>
        <w:numId w:val="1"/>
      </w:numPr>
      <w:spacing w:before="240" w:after="64" w:line="320" w:lineRule="auto"/>
      <w:outlineLvl w:val="6"/>
    </w:pPr>
    <w:rPr>
      <w:b/>
      <w:bCs/>
      <w:sz w:val="24"/>
    </w:rPr>
  </w:style>
  <w:style w:type="paragraph" w:styleId="9">
    <w:name w:val="heading 8"/>
    <w:basedOn w:val="1"/>
    <w:next w:val="1"/>
    <w:qFormat/>
    <w:uiPriority w:val="0"/>
    <w:pPr>
      <w:keepNext/>
      <w:keepLines/>
      <w:numPr>
        <w:ilvl w:val="7"/>
        <w:numId w:val="1"/>
      </w:numPr>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numPr>
        <w:ilvl w:val="8"/>
        <w:numId w:val="1"/>
      </w:numPr>
      <w:spacing w:before="240" w:after="64" w:line="320" w:lineRule="auto"/>
      <w:outlineLvl w:val="8"/>
    </w:pPr>
    <w:rPr>
      <w:rFonts w:ascii="Arial" w:hAnsi="Arial" w:eastAsia="黑体"/>
      <w:szCs w:val="21"/>
    </w:rPr>
  </w:style>
  <w:style w:type="character" w:default="1" w:styleId="27">
    <w:name w:val="Default Paragraph Font"/>
    <w:semiHidden/>
    <w:unhideWhenUsed/>
    <w:uiPriority w:val="1"/>
  </w:style>
  <w:style w:type="table" w:default="1" w:styleId="31">
    <w:name w:val="Normal Table"/>
    <w:semiHidden/>
    <w:unhideWhenUsed/>
    <w:uiPriority w:val="99"/>
    <w:tblPr>
      <w:tblLayout w:type="fixed"/>
      <w:tblCellMar>
        <w:top w:w="0" w:type="dxa"/>
        <w:left w:w="108" w:type="dxa"/>
        <w:bottom w:w="0" w:type="dxa"/>
        <w:right w:w="108" w:type="dxa"/>
      </w:tblCellMar>
    </w:tblPr>
  </w:style>
  <w:style w:type="paragraph" w:styleId="11">
    <w:name w:val="annotation subject"/>
    <w:basedOn w:val="12"/>
    <w:next w:val="12"/>
    <w:semiHidden/>
    <w:qFormat/>
    <w:uiPriority w:val="0"/>
    <w:rPr>
      <w:b/>
      <w:bCs/>
    </w:rPr>
  </w:style>
  <w:style w:type="paragraph" w:styleId="12">
    <w:name w:val="annotation text"/>
    <w:basedOn w:val="1"/>
    <w:semiHidden/>
    <w:uiPriority w:val="0"/>
    <w:pPr>
      <w:jc w:val="left"/>
    </w:pPr>
  </w:style>
  <w:style w:type="paragraph" w:styleId="13">
    <w:name w:val="Normal Indent"/>
    <w:basedOn w:val="1"/>
    <w:qFormat/>
    <w:uiPriority w:val="0"/>
    <w:pPr>
      <w:ind w:firstLine="420"/>
    </w:pPr>
    <w:rPr>
      <w:szCs w:val="20"/>
    </w:rPr>
  </w:style>
  <w:style w:type="paragraph" w:styleId="14">
    <w:name w:val="Document Map"/>
    <w:basedOn w:val="1"/>
    <w:semiHidden/>
    <w:uiPriority w:val="0"/>
    <w:pPr>
      <w:shd w:val="clear" w:color="auto" w:fill="000080"/>
    </w:pPr>
  </w:style>
  <w:style w:type="paragraph" w:styleId="15">
    <w:name w:val="Body Text Indent"/>
    <w:basedOn w:val="1"/>
    <w:link w:val="42"/>
    <w:uiPriority w:val="0"/>
    <w:pPr>
      <w:spacing w:after="120"/>
      <w:ind w:left="420" w:leftChars="200"/>
    </w:pPr>
  </w:style>
  <w:style w:type="paragraph" w:styleId="16">
    <w:name w:val="List 2"/>
    <w:basedOn w:val="1"/>
    <w:uiPriority w:val="0"/>
    <w:pPr>
      <w:ind w:left="100" w:leftChars="200" w:hanging="200" w:hangingChars="200"/>
    </w:pPr>
  </w:style>
  <w:style w:type="paragraph" w:styleId="17">
    <w:name w:val="List Continue"/>
    <w:basedOn w:val="1"/>
    <w:uiPriority w:val="0"/>
    <w:pPr>
      <w:spacing w:after="120"/>
      <w:ind w:left="420" w:leftChars="200"/>
      <w:contextualSpacing/>
    </w:pPr>
  </w:style>
  <w:style w:type="paragraph" w:styleId="18">
    <w:name w:val="toc 3"/>
    <w:basedOn w:val="1"/>
    <w:next w:val="1"/>
    <w:qFormat/>
    <w:uiPriority w:val="39"/>
    <w:pPr>
      <w:ind w:left="840" w:leftChars="400"/>
    </w:pPr>
  </w:style>
  <w:style w:type="paragraph" w:styleId="19">
    <w:name w:val="Date"/>
    <w:basedOn w:val="1"/>
    <w:next w:val="1"/>
    <w:link w:val="39"/>
    <w:qFormat/>
    <w:uiPriority w:val="0"/>
    <w:pPr>
      <w:ind w:left="100" w:leftChars="2500"/>
    </w:pPr>
  </w:style>
  <w:style w:type="paragraph" w:styleId="20">
    <w:name w:val="Balloon Text"/>
    <w:basedOn w:val="1"/>
    <w:semiHidden/>
    <w:uiPriority w:val="0"/>
    <w:rPr>
      <w:sz w:val="18"/>
      <w:szCs w:val="18"/>
    </w:rPr>
  </w:style>
  <w:style w:type="paragraph" w:styleId="21">
    <w:name w:val="footer"/>
    <w:basedOn w:val="1"/>
    <w:qFormat/>
    <w:uiPriority w:val="0"/>
    <w:pPr>
      <w:tabs>
        <w:tab w:val="center" w:pos="4153"/>
        <w:tab w:val="right" w:pos="8306"/>
      </w:tabs>
      <w:snapToGrid w:val="0"/>
      <w:jc w:val="left"/>
    </w:pPr>
    <w:rPr>
      <w:sz w:val="18"/>
      <w:szCs w:val="18"/>
    </w:rPr>
  </w:style>
  <w:style w:type="paragraph" w:styleId="22">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39"/>
  </w:style>
  <w:style w:type="paragraph" w:styleId="24">
    <w:name w:val="toc 2"/>
    <w:basedOn w:val="1"/>
    <w:next w:val="1"/>
    <w:qFormat/>
    <w:uiPriority w:val="39"/>
    <w:pPr>
      <w:ind w:left="420" w:leftChars="200"/>
    </w:pPr>
  </w:style>
  <w:style w:type="paragraph" w:styleId="2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26">
    <w:name w:val="Title"/>
    <w:basedOn w:val="1"/>
    <w:next w:val="1"/>
    <w:link w:val="40"/>
    <w:qFormat/>
    <w:uiPriority w:val="0"/>
    <w:pPr>
      <w:spacing w:before="240" w:after="60"/>
      <w:jc w:val="center"/>
      <w:outlineLvl w:val="0"/>
    </w:pPr>
    <w:rPr>
      <w:rFonts w:asciiTheme="majorHAnsi" w:hAnsiTheme="majorHAnsi" w:eastAsiaTheme="majorEastAsia" w:cstheme="majorBidi"/>
      <w:b/>
      <w:bCs/>
      <w:sz w:val="32"/>
      <w:szCs w:val="32"/>
    </w:rPr>
  </w:style>
  <w:style w:type="character" w:styleId="28">
    <w:name w:val="page number"/>
    <w:basedOn w:val="27"/>
    <w:qFormat/>
    <w:uiPriority w:val="0"/>
  </w:style>
  <w:style w:type="character" w:styleId="29">
    <w:name w:val="Hyperlink"/>
    <w:basedOn w:val="27"/>
    <w:unhideWhenUsed/>
    <w:qFormat/>
    <w:uiPriority w:val="99"/>
    <w:rPr>
      <w:color w:val="0563C1" w:themeColor="hyperlink"/>
      <w:u w:val="single"/>
      <w14:textFill>
        <w14:solidFill>
          <w14:schemeClr w14:val="hlink"/>
        </w14:solidFill>
      </w14:textFill>
    </w:rPr>
  </w:style>
  <w:style w:type="character" w:styleId="30">
    <w:name w:val="annotation reference"/>
    <w:semiHidden/>
    <w:uiPriority w:val="0"/>
    <w:rPr>
      <w:sz w:val="21"/>
      <w:szCs w:val="21"/>
    </w:rPr>
  </w:style>
  <w:style w:type="table" w:styleId="32">
    <w:name w:val="Table Grid"/>
    <w:basedOn w:val="31"/>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33">
    <w:name w:val="Char"/>
    <w:basedOn w:val="1"/>
    <w:uiPriority w:val="0"/>
    <w:rPr>
      <w:rFonts w:ascii="仿宋_GB2312" w:eastAsia="仿宋_GB2312"/>
      <w:b/>
      <w:sz w:val="32"/>
      <w:szCs w:val="32"/>
    </w:rPr>
  </w:style>
  <w:style w:type="paragraph" w:customStyle="1" w:styleId="34">
    <w:name w:val="1.1.1.1"/>
    <w:qFormat/>
    <w:uiPriority w:val="0"/>
    <w:pPr>
      <w:adjustRightInd w:val="0"/>
      <w:spacing w:before="60" w:after="60" w:line="480" w:lineRule="exact"/>
      <w:ind w:left="1200" w:hanging="1200"/>
      <w:jc w:val="both"/>
    </w:pPr>
    <w:rPr>
      <w:rFonts w:ascii="Times New Roman" w:hAnsi="Times New Roman" w:eastAsia="宋体" w:cs="Times New Roman"/>
      <w:b/>
      <w:sz w:val="24"/>
      <w:lang w:val="en-US" w:eastAsia="zh-CN" w:bidi="ar-SA"/>
    </w:rPr>
  </w:style>
  <w:style w:type="character" w:customStyle="1" w:styleId="35">
    <w:name w:val="para"/>
    <w:basedOn w:val="27"/>
    <w:uiPriority w:val="0"/>
  </w:style>
  <w:style w:type="paragraph" w:styleId="36">
    <w:name w:val="List Paragraph"/>
    <w:basedOn w:val="1"/>
    <w:qFormat/>
    <w:uiPriority w:val="34"/>
    <w:pPr>
      <w:ind w:firstLine="420" w:firstLineChars="200"/>
    </w:pPr>
    <w:rPr>
      <w:rFonts w:ascii="Calibri" w:hAnsi="Calibri"/>
      <w:szCs w:val="22"/>
    </w:rPr>
  </w:style>
  <w:style w:type="paragraph" w:customStyle="1" w:styleId="37">
    <w:name w:val="样式4"/>
    <w:basedOn w:val="1"/>
    <w:link w:val="38"/>
    <w:qFormat/>
    <w:uiPriority w:val="0"/>
    <w:pPr>
      <w:spacing w:line="360" w:lineRule="auto"/>
    </w:pPr>
    <w:rPr>
      <w:rFonts w:ascii="Calibri" w:hAnsi="Calibri"/>
      <w:sz w:val="24"/>
      <w:szCs w:val="22"/>
      <w:lang w:val="zh-CN"/>
    </w:rPr>
  </w:style>
  <w:style w:type="character" w:customStyle="1" w:styleId="38">
    <w:name w:val="样式4 Char"/>
    <w:link w:val="37"/>
    <w:qFormat/>
    <w:uiPriority w:val="0"/>
    <w:rPr>
      <w:rFonts w:ascii="Calibri" w:hAnsi="Calibri"/>
      <w:kern w:val="2"/>
      <w:sz w:val="24"/>
      <w:szCs w:val="22"/>
      <w:lang w:val="zh-CN" w:eastAsia="zh-CN"/>
    </w:rPr>
  </w:style>
  <w:style w:type="character" w:customStyle="1" w:styleId="39">
    <w:name w:val="日期 Char"/>
    <w:link w:val="19"/>
    <w:qFormat/>
    <w:uiPriority w:val="0"/>
    <w:rPr>
      <w:kern w:val="2"/>
      <w:sz w:val="21"/>
      <w:szCs w:val="24"/>
    </w:rPr>
  </w:style>
  <w:style w:type="character" w:customStyle="1" w:styleId="40">
    <w:name w:val="标题 Char"/>
    <w:basedOn w:val="27"/>
    <w:link w:val="26"/>
    <w:qFormat/>
    <w:uiPriority w:val="0"/>
    <w:rPr>
      <w:rFonts w:asciiTheme="majorHAnsi" w:hAnsiTheme="majorHAnsi" w:eastAsiaTheme="majorEastAsia" w:cstheme="majorBidi"/>
      <w:b/>
      <w:bCs/>
      <w:kern w:val="2"/>
      <w:sz w:val="32"/>
      <w:szCs w:val="32"/>
    </w:rPr>
  </w:style>
  <w:style w:type="character" w:customStyle="1" w:styleId="41">
    <w:name w:val="wp_visitcount1"/>
    <w:basedOn w:val="27"/>
    <w:qFormat/>
    <w:uiPriority w:val="0"/>
    <w:rPr>
      <w:vanish/>
    </w:rPr>
  </w:style>
  <w:style w:type="character" w:customStyle="1" w:styleId="42">
    <w:name w:val="正文文本缩进 Char"/>
    <w:basedOn w:val="27"/>
    <w:link w:val="15"/>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462EF7-7433-4CDE-9BB0-A9B155488CF1}">
  <ds:schemaRefs/>
</ds:datastoreItem>
</file>

<file path=docProps/app.xml><?xml version="1.0" encoding="utf-8"?>
<Properties xmlns="http://schemas.openxmlformats.org/officeDocument/2006/extended-properties" xmlns:vt="http://schemas.openxmlformats.org/officeDocument/2006/docPropsVTypes">
  <Template>Normal.dotm</Template>
  <Manager>合肥天帷信息安全技术有限公司</Manager>
  <Company>china</Company>
  <Pages>1</Pages>
  <Words>1139</Words>
  <Characters>6496</Characters>
  <Lines>54</Lines>
  <Paragraphs>15</Paragraphs>
  <TotalTime>9</TotalTime>
  <ScaleCrop>false</ScaleCrop>
  <LinksUpToDate>false</LinksUpToDate>
  <CharactersWithSpaces>7620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2018-07-04T01:45:00Z</dcterms:created>
  <dc:creator>Panda.Tao</dc:creator>
  <cp:keywords>信息安全等级保护</cp:keywords>
  <cp:lastModifiedBy>Administrator</cp:lastModifiedBy>
  <cp:lastPrinted>2018-07-03T00:44:00Z</cp:lastPrinted>
  <dcterms:modified xsi:type="dcterms:W3CDTF">2018-07-12T08:39:22Z</dcterms:modified>
  <dc:title>信息安全等级保护测评招标文件</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