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52"/>
          <w:szCs w:val="52"/>
        </w:rPr>
      </w:pPr>
      <w:bookmarkStart w:id="0" w:name="_Toc215567871"/>
    </w:p>
    <w:p>
      <w:pPr>
        <w:jc w:val="center"/>
        <w:rPr>
          <w:rFonts w:ascii="宋体" w:hAnsi="宋体"/>
          <w:b/>
          <w:sz w:val="52"/>
          <w:szCs w:val="52"/>
        </w:rPr>
      </w:pPr>
      <w:r>
        <w:rPr>
          <w:rFonts w:hint="eastAsia" w:ascii="宋体" w:hAnsi="宋体"/>
          <w:b/>
          <w:sz w:val="52"/>
          <w:szCs w:val="52"/>
        </w:rPr>
        <w:t>安徽职业技术学院招标文件</w:t>
      </w:r>
    </w:p>
    <w:p>
      <w:pPr>
        <w:rPr>
          <w:rFonts w:ascii="宋体" w:hAnsi="宋体"/>
          <w:b/>
          <w:sz w:val="52"/>
          <w:szCs w:val="52"/>
        </w:rPr>
      </w:pPr>
    </w:p>
    <w:p>
      <w:pPr>
        <w:jc w:val="center"/>
        <w:rPr>
          <w:rFonts w:ascii="宋体" w:hAnsi="宋体"/>
          <w:b/>
          <w:sz w:val="52"/>
          <w:szCs w:val="52"/>
        </w:rPr>
      </w:pPr>
    </w:p>
    <w:p>
      <w:pPr>
        <w:jc w:val="center"/>
        <w:rPr>
          <w:rFonts w:ascii="宋体" w:hAnsi="宋体"/>
          <w:bCs/>
          <w:sz w:val="32"/>
          <w:szCs w:val="32"/>
        </w:rPr>
      </w:pPr>
      <w:r>
        <w:rPr>
          <w:rFonts w:ascii="宋体" w:hAnsi="宋体"/>
          <w:b/>
          <w:sz w:val="56"/>
        </w:rPr>
        <w:drawing>
          <wp:inline distT="0" distB="0" distL="0" distR="0">
            <wp:extent cx="2038350" cy="2038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inline>
        </w:drawing>
      </w:r>
    </w:p>
    <w:p>
      <w:pPr>
        <w:autoSpaceDE w:val="0"/>
        <w:autoSpaceDN w:val="0"/>
        <w:spacing w:line="360" w:lineRule="auto"/>
        <w:textAlignment w:val="bottom"/>
        <w:rPr>
          <w:rFonts w:ascii="宋体" w:hAnsi="宋体"/>
          <w:bCs/>
          <w:sz w:val="32"/>
          <w:szCs w:val="32"/>
        </w:rPr>
      </w:pPr>
    </w:p>
    <w:p>
      <w:pPr>
        <w:autoSpaceDE w:val="0"/>
        <w:autoSpaceDN w:val="0"/>
        <w:spacing w:line="360" w:lineRule="auto"/>
        <w:textAlignment w:val="bottom"/>
        <w:rPr>
          <w:rFonts w:ascii="宋体" w:hAnsi="宋体"/>
          <w:bCs/>
          <w:sz w:val="32"/>
          <w:szCs w:val="32"/>
        </w:rPr>
      </w:pPr>
    </w:p>
    <w:p>
      <w:pPr>
        <w:autoSpaceDE w:val="0"/>
        <w:autoSpaceDN w:val="0"/>
        <w:spacing w:line="360" w:lineRule="auto"/>
        <w:ind w:left="630" w:leftChars="300" w:firstLine="1124" w:firstLineChars="400"/>
        <w:textAlignment w:val="bottom"/>
        <w:rPr>
          <w:rFonts w:hint="eastAsia" w:ascii="宋体" w:hAnsi="宋体"/>
          <w:b/>
          <w:color w:val="000000"/>
          <w:sz w:val="28"/>
          <w:szCs w:val="28"/>
        </w:rPr>
      </w:pPr>
    </w:p>
    <w:p>
      <w:pPr>
        <w:autoSpaceDE w:val="0"/>
        <w:autoSpaceDN w:val="0"/>
        <w:spacing w:line="360" w:lineRule="auto"/>
        <w:ind w:left="630" w:leftChars="300" w:firstLine="1124" w:firstLineChars="400"/>
        <w:textAlignment w:val="bottom"/>
        <w:rPr>
          <w:rFonts w:hint="eastAsia" w:ascii="宋体" w:hAnsi="宋体"/>
          <w:b/>
          <w:color w:val="000000"/>
          <w:sz w:val="28"/>
          <w:szCs w:val="28"/>
        </w:rPr>
      </w:pPr>
      <w:r>
        <w:rPr>
          <w:rFonts w:hint="eastAsia" w:ascii="宋体" w:hAnsi="宋体"/>
          <w:b/>
          <w:color w:val="000000"/>
          <w:sz w:val="28"/>
          <w:szCs w:val="28"/>
        </w:rPr>
        <w:t>项目名称：2018年宿舍网网络运维服务托管项目</w:t>
      </w:r>
    </w:p>
    <w:p>
      <w:pPr>
        <w:autoSpaceDE w:val="0"/>
        <w:autoSpaceDN w:val="0"/>
        <w:spacing w:line="360" w:lineRule="auto"/>
        <w:ind w:left="630" w:leftChars="300" w:firstLine="1124" w:firstLineChars="400"/>
        <w:textAlignment w:val="bottom"/>
        <w:rPr>
          <w:rFonts w:hint="eastAsia" w:ascii="宋体" w:hAnsi="宋体"/>
          <w:b/>
          <w:color w:val="000000"/>
          <w:sz w:val="28"/>
          <w:szCs w:val="28"/>
          <w:lang w:val="en-US" w:eastAsia="zh-CN"/>
        </w:rPr>
      </w:pPr>
      <w:r>
        <w:rPr>
          <w:rFonts w:hint="eastAsia" w:ascii="宋体" w:hAnsi="宋体"/>
          <w:b/>
          <w:color w:val="000000"/>
          <w:sz w:val="28"/>
          <w:szCs w:val="28"/>
        </w:rPr>
        <w:t>项目编号：AZY-2018-0</w:t>
      </w:r>
      <w:r>
        <w:rPr>
          <w:rFonts w:hint="eastAsia" w:ascii="宋体" w:hAnsi="宋体"/>
          <w:b/>
          <w:color w:val="000000"/>
          <w:sz w:val="28"/>
          <w:szCs w:val="28"/>
          <w:lang w:val="en-US" w:eastAsia="zh-CN"/>
        </w:rPr>
        <w:t>67</w:t>
      </w:r>
    </w:p>
    <w:p>
      <w:pPr>
        <w:autoSpaceDE w:val="0"/>
        <w:autoSpaceDN w:val="0"/>
        <w:spacing w:line="360" w:lineRule="auto"/>
        <w:ind w:left="630" w:leftChars="300" w:firstLine="1124" w:firstLineChars="400"/>
        <w:textAlignment w:val="bottom"/>
        <w:rPr>
          <w:rFonts w:hint="eastAsia" w:ascii="宋体" w:hAnsi="宋体"/>
          <w:b/>
          <w:color w:val="000000"/>
          <w:sz w:val="28"/>
          <w:szCs w:val="28"/>
        </w:rPr>
      </w:pPr>
      <w:r>
        <w:rPr>
          <w:rFonts w:hint="eastAsia" w:ascii="宋体" w:hAnsi="宋体"/>
          <w:b/>
          <w:color w:val="000000"/>
          <w:sz w:val="28"/>
          <w:szCs w:val="28"/>
        </w:rPr>
        <w:t>采购人：安徽职业技术学院</w:t>
      </w:r>
    </w:p>
    <w:p>
      <w:pPr>
        <w:autoSpaceDE w:val="0"/>
        <w:autoSpaceDN w:val="0"/>
        <w:spacing w:line="360" w:lineRule="auto"/>
        <w:ind w:left="630" w:leftChars="300" w:firstLine="1124" w:firstLineChars="400"/>
        <w:textAlignment w:val="bottom"/>
        <w:rPr>
          <w:rFonts w:ascii="宋体" w:hAnsi="宋体"/>
          <w:b/>
          <w:color w:val="000000"/>
          <w:sz w:val="28"/>
          <w:szCs w:val="28"/>
        </w:rPr>
      </w:pPr>
      <w:r>
        <w:rPr>
          <w:rFonts w:hint="eastAsia" w:ascii="宋体" w:hAnsi="宋体"/>
          <w:b/>
          <w:color w:val="000000"/>
          <w:sz w:val="28"/>
          <w:szCs w:val="28"/>
        </w:rPr>
        <w:t>采购时间：2018年</w:t>
      </w:r>
      <w:r>
        <w:rPr>
          <w:rFonts w:ascii="宋体" w:hAnsi="宋体"/>
          <w:b/>
          <w:color w:val="000000"/>
          <w:sz w:val="28"/>
          <w:szCs w:val="28"/>
        </w:rPr>
        <w:t>8</w:t>
      </w:r>
      <w:r>
        <w:rPr>
          <w:rFonts w:hint="eastAsia" w:ascii="宋体" w:hAnsi="宋体"/>
          <w:b/>
          <w:color w:val="000000"/>
          <w:sz w:val="28"/>
          <w:szCs w:val="28"/>
        </w:rPr>
        <w:t>月</w:t>
      </w:r>
    </w:p>
    <w:p>
      <w:pPr>
        <w:autoSpaceDE w:val="0"/>
        <w:autoSpaceDN w:val="0"/>
        <w:spacing w:line="360" w:lineRule="auto"/>
        <w:jc w:val="center"/>
        <w:textAlignment w:val="bottom"/>
        <w:rPr>
          <w:rFonts w:ascii="宋体" w:hAnsi="宋体"/>
          <w:b/>
          <w:color w:val="000000"/>
          <w:sz w:val="30"/>
          <w:szCs w:val="30"/>
        </w:rPr>
      </w:pPr>
    </w:p>
    <w:p>
      <w:pPr>
        <w:adjustRightInd w:val="0"/>
        <w:snapToGrid w:val="0"/>
        <w:spacing w:line="500" w:lineRule="atLeast"/>
        <w:jc w:val="center"/>
        <w:rPr>
          <w:rFonts w:ascii="宋体" w:hAnsi="宋体"/>
          <w:sz w:val="24"/>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567" w:footer="567" w:gutter="0"/>
          <w:pgNumType w:start="1" w:chapStyle="1" w:chapSep="emDash"/>
          <w:cols w:space="425" w:num="1"/>
          <w:titlePg/>
          <w:docGrid w:type="lines" w:linePitch="312" w:charSpace="0"/>
        </w:sectPr>
      </w:pPr>
    </w:p>
    <w:p>
      <w:pPr>
        <w:pStyle w:val="25"/>
        <w:spacing w:line="432" w:lineRule="auto"/>
        <w:jc w:val="center"/>
        <w:rPr>
          <w:b/>
          <w:color w:val="000000"/>
          <w:sz w:val="30"/>
          <w:szCs w:val="30"/>
        </w:rPr>
      </w:pPr>
      <w:r>
        <w:rPr>
          <w:rFonts w:hint="eastAsia"/>
          <w:b/>
          <w:color w:val="000000"/>
          <w:sz w:val="30"/>
          <w:szCs w:val="30"/>
        </w:rPr>
        <w:t>安徽职业技术学院2018宿舍网网络运维服务托管项目招标公告</w:t>
      </w:r>
    </w:p>
    <w:p>
      <w:pPr>
        <w:pStyle w:val="25"/>
        <w:wordWrap w:val="0"/>
        <w:spacing w:line="432" w:lineRule="auto"/>
        <w:ind w:firstLine="480" w:firstLineChars="200"/>
        <w:rPr>
          <w:rFonts w:cs="Times New Roman"/>
          <w:color w:val="000000"/>
          <w:kern w:val="2"/>
        </w:rPr>
      </w:pPr>
      <w:r>
        <w:rPr>
          <w:rFonts w:cs="Times New Roman"/>
          <w:color w:val="000000"/>
          <w:kern w:val="2"/>
        </w:rPr>
        <w:t>经学校批准，现</w:t>
      </w:r>
      <w:r>
        <w:rPr>
          <w:rFonts w:hint="eastAsia" w:cs="Times New Roman"/>
          <w:color w:val="000000"/>
          <w:kern w:val="2"/>
        </w:rPr>
        <w:t>以公开招标方式对“安徽职业技术学院2018宿舍网网络运维服务托管”项目</w:t>
      </w:r>
      <w:r>
        <w:rPr>
          <w:rFonts w:cs="Times New Roman"/>
          <w:color w:val="000000"/>
          <w:kern w:val="2"/>
        </w:rPr>
        <w:t>进行</w:t>
      </w:r>
      <w:r>
        <w:rPr>
          <w:rFonts w:hint="eastAsia" w:cs="Times New Roman"/>
          <w:color w:val="000000"/>
          <w:kern w:val="2"/>
        </w:rPr>
        <w:t>采购</w:t>
      </w:r>
      <w:r>
        <w:rPr>
          <w:rFonts w:cs="Times New Roman"/>
          <w:color w:val="000000"/>
          <w:kern w:val="2"/>
        </w:rPr>
        <w:t>，欢迎具备条件的国内</w:t>
      </w:r>
      <w:r>
        <w:rPr>
          <w:rFonts w:hint="eastAsia" w:cs="Times New Roman"/>
          <w:color w:val="000000"/>
          <w:kern w:val="2"/>
        </w:rPr>
        <w:t>供应商参与</w:t>
      </w:r>
      <w:r>
        <w:rPr>
          <w:rFonts w:cs="Times New Roman"/>
          <w:color w:val="000000"/>
          <w:kern w:val="2"/>
        </w:rPr>
        <w:t>投标。</w:t>
      </w:r>
    </w:p>
    <w:p>
      <w:pPr>
        <w:pStyle w:val="25"/>
        <w:numPr>
          <w:ilvl w:val="0"/>
          <w:numId w:val="0"/>
        </w:numPr>
        <w:wordWrap w:val="0"/>
        <w:spacing w:line="432" w:lineRule="auto"/>
        <w:rPr>
          <w:rFonts w:hint="eastAsia" w:cs="Times New Roman"/>
          <w:color w:val="000000"/>
          <w:kern w:val="2"/>
          <w:lang w:val="en-US" w:eastAsia="zh-CN"/>
        </w:rPr>
      </w:pPr>
      <w:r>
        <w:rPr>
          <w:rFonts w:cs="Times New Roman"/>
          <w:color w:val="000000"/>
          <w:kern w:val="2"/>
        </w:rPr>
        <w:t>项目名称及内容</w:t>
      </w:r>
      <w:r>
        <w:rPr>
          <w:rFonts w:cs="Times New Roman"/>
          <w:color w:val="000000"/>
          <w:kern w:val="2"/>
        </w:rPr>
        <w:br w:type="textWrapping"/>
      </w:r>
      <w:r>
        <w:rPr>
          <w:rFonts w:hint="eastAsia" w:cs="Times New Roman"/>
          <w:color w:val="000000"/>
          <w:kern w:val="2"/>
        </w:rPr>
        <w:t>1、项目编号：AZY-2018-0</w:t>
      </w:r>
      <w:r>
        <w:rPr>
          <w:rFonts w:hint="eastAsia" w:cs="Times New Roman"/>
          <w:color w:val="000000"/>
          <w:kern w:val="2"/>
          <w:lang w:val="en-US" w:eastAsia="zh-CN"/>
        </w:rPr>
        <w:t>67</w:t>
      </w:r>
    </w:p>
    <w:p>
      <w:pPr>
        <w:pStyle w:val="25"/>
        <w:numPr>
          <w:ilvl w:val="0"/>
          <w:numId w:val="0"/>
        </w:numPr>
        <w:wordWrap w:val="0"/>
        <w:spacing w:line="432" w:lineRule="auto"/>
        <w:rPr>
          <w:rFonts w:cs="Times New Roman"/>
          <w:color w:val="000000"/>
          <w:kern w:val="2"/>
        </w:rPr>
      </w:pPr>
      <w:r>
        <w:rPr>
          <w:rFonts w:hint="eastAsia" w:cs="Times New Roman"/>
          <w:color w:val="000000"/>
          <w:kern w:val="2"/>
        </w:rPr>
        <w:t>2、项目名称：安徽职业技术学院2018宿舍网网络运维服务托管项目</w:t>
      </w:r>
      <w:r>
        <w:rPr>
          <w:rFonts w:hint="eastAsia" w:cs="Times New Roman"/>
          <w:color w:val="000000"/>
          <w:kern w:val="2"/>
        </w:rPr>
        <w:br w:type="textWrapping"/>
      </w:r>
      <w:r>
        <w:rPr>
          <w:rFonts w:hint="eastAsia" w:cs="Times New Roman"/>
          <w:color w:val="000000"/>
          <w:kern w:val="2"/>
        </w:rPr>
        <w:t xml:space="preserve">3、项目单位：安徽职业技术学院 </w:t>
      </w:r>
      <w:r>
        <w:rPr>
          <w:rFonts w:hint="eastAsia" w:cs="Times New Roman"/>
          <w:color w:val="000000"/>
          <w:kern w:val="2"/>
        </w:rPr>
        <w:br w:type="textWrapping"/>
      </w:r>
      <w:r>
        <w:rPr>
          <w:rFonts w:hint="eastAsia" w:cs="Times New Roman"/>
          <w:color w:val="000000"/>
          <w:kern w:val="2"/>
        </w:rPr>
        <w:t xml:space="preserve">4、资金来源：运营商资金 </w:t>
      </w:r>
      <w:r>
        <w:rPr>
          <w:rFonts w:cs="Times New Roman"/>
          <w:color w:val="000000"/>
          <w:kern w:val="2"/>
        </w:rPr>
        <w:br w:type="textWrapping"/>
      </w:r>
      <w:r>
        <w:rPr>
          <w:rFonts w:cs="Times New Roman"/>
          <w:color w:val="000000"/>
          <w:kern w:val="2"/>
        </w:rPr>
        <w:t>5、项目预算：40万元</w:t>
      </w:r>
      <w:r>
        <w:rPr>
          <w:rFonts w:cs="Times New Roman"/>
          <w:color w:val="000000"/>
          <w:kern w:val="2"/>
        </w:rPr>
        <w:br w:type="textWrapping"/>
      </w:r>
      <w:r>
        <w:rPr>
          <w:rFonts w:cs="Times New Roman"/>
          <w:color w:val="000000"/>
          <w:kern w:val="2"/>
        </w:rPr>
        <w:t>6、最高限价：40万元</w:t>
      </w:r>
      <w:r>
        <w:rPr>
          <w:rFonts w:cs="Times New Roman"/>
          <w:color w:val="000000"/>
          <w:kern w:val="2"/>
        </w:rPr>
        <w:br w:type="textWrapping"/>
      </w:r>
      <w:r>
        <w:rPr>
          <w:rFonts w:cs="Times New Roman"/>
          <w:color w:val="000000"/>
          <w:kern w:val="2"/>
        </w:rPr>
        <w:t>7、标段划分：无</w:t>
      </w:r>
      <w:r>
        <w:rPr>
          <w:rFonts w:cs="Times New Roman"/>
          <w:color w:val="000000"/>
          <w:kern w:val="2"/>
        </w:rPr>
        <w:br w:type="textWrapping"/>
      </w:r>
      <w:r>
        <w:rPr>
          <w:rFonts w:cs="Times New Roman"/>
          <w:color w:val="000000"/>
          <w:kern w:val="2"/>
        </w:rPr>
        <w:t>二、投标人资格要求</w:t>
      </w:r>
    </w:p>
    <w:p>
      <w:pPr>
        <w:pStyle w:val="25"/>
        <w:wordWrap w:val="0"/>
        <w:spacing w:line="432" w:lineRule="auto"/>
        <w:rPr>
          <w:rFonts w:hint="eastAsia" w:eastAsia="宋体" w:cs="Times New Roman"/>
          <w:color w:val="000000"/>
          <w:kern w:val="2"/>
          <w:lang w:val="en-US" w:eastAsia="zh-CN"/>
        </w:rPr>
      </w:pPr>
      <w:r>
        <w:rPr>
          <w:rFonts w:hint="eastAsia" w:cs="Times New Roman"/>
          <w:color w:val="000000"/>
          <w:kern w:val="2"/>
        </w:rPr>
        <w:t>1、投标人应符合《中华人民共和国政府采购法》第二十二条的要求</w:t>
      </w:r>
      <w:r>
        <w:rPr>
          <w:rFonts w:hint="eastAsia" w:cs="Times New Roman"/>
          <w:color w:val="000000"/>
          <w:kern w:val="2"/>
          <w:lang w:eastAsia="zh-CN"/>
        </w:rPr>
        <w:t>；</w:t>
      </w:r>
    </w:p>
    <w:p>
      <w:pPr>
        <w:pStyle w:val="25"/>
        <w:wordWrap w:val="0"/>
        <w:spacing w:line="432" w:lineRule="auto"/>
        <w:rPr>
          <w:rFonts w:hint="eastAsia" w:eastAsia="宋体" w:cs="Times New Roman"/>
          <w:color w:val="000000"/>
          <w:kern w:val="2"/>
          <w:lang w:eastAsia="zh-CN"/>
        </w:rPr>
      </w:pPr>
      <w:r>
        <w:rPr>
          <w:rFonts w:hint="eastAsia" w:cs="Times New Roman"/>
          <w:color w:val="000000"/>
          <w:kern w:val="2"/>
        </w:rPr>
        <w:t>2</w:t>
      </w:r>
      <w:r>
        <w:rPr>
          <w:rFonts w:cs="Times New Roman"/>
          <w:color w:val="000000"/>
          <w:kern w:val="2"/>
        </w:rPr>
        <w:t>、</w:t>
      </w:r>
      <w:r>
        <w:rPr>
          <w:rFonts w:hint="eastAsia" w:cs="Times New Roman"/>
          <w:color w:val="000000"/>
          <w:kern w:val="2"/>
          <w:lang w:eastAsia="zh-CN"/>
        </w:rPr>
        <w:t>投标人应具有本地化服务能力；</w:t>
      </w:r>
    </w:p>
    <w:p>
      <w:pPr>
        <w:pStyle w:val="25"/>
        <w:wordWrap w:val="0"/>
        <w:spacing w:line="432" w:lineRule="auto"/>
        <w:rPr>
          <w:rFonts w:hint="eastAsia" w:eastAsia="宋体" w:cs="Times New Roman"/>
          <w:color w:val="000000"/>
          <w:kern w:val="2"/>
          <w:lang w:eastAsia="zh-CN"/>
        </w:rPr>
      </w:pPr>
      <w:r>
        <w:rPr>
          <w:rFonts w:hint="eastAsia" w:cs="Times New Roman"/>
          <w:color w:val="000000"/>
          <w:kern w:val="2"/>
          <w:lang w:val="en-US" w:eastAsia="zh-CN"/>
        </w:rPr>
        <w:t>3、</w:t>
      </w:r>
      <w:r>
        <w:rPr>
          <w:rFonts w:cs="Times New Roman"/>
          <w:color w:val="000000"/>
          <w:kern w:val="2"/>
        </w:rPr>
        <w:t>本项目不接受联合体投标</w:t>
      </w:r>
      <w:r>
        <w:rPr>
          <w:rFonts w:hint="eastAsia" w:cs="Times New Roman"/>
          <w:color w:val="000000"/>
          <w:kern w:val="2"/>
          <w:lang w:eastAsia="zh-CN"/>
        </w:rPr>
        <w:t>；</w:t>
      </w:r>
    </w:p>
    <w:p>
      <w:pPr>
        <w:pStyle w:val="25"/>
        <w:wordWrap w:val="0"/>
        <w:spacing w:line="432" w:lineRule="auto"/>
        <w:rPr>
          <w:rFonts w:cs="Times New Roman"/>
          <w:color w:val="000000"/>
          <w:kern w:val="2"/>
        </w:rPr>
      </w:pPr>
      <w:r>
        <w:rPr>
          <w:rFonts w:hint="eastAsia" w:cs="Times New Roman"/>
          <w:color w:val="000000"/>
          <w:kern w:val="2"/>
          <w:lang w:val="en-US" w:eastAsia="zh-CN"/>
        </w:rPr>
        <w:t>4</w:t>
      </w:r>
      <w:r>
        <w:rPr>
          <w:rFonts w:hint="eastAsia" w:cs="Times New Roman"/>
          <w:color w:val="000000"/>
          <w:kern w:val="2"/>
        </w:rPr>
        <w:t>、为确保营造后期校园内公平竞争，本项目不接受三家（电信、移动、联通）运营商公司（包含控股公司、参股公司、分公司、子公司等）参与投标。如有投诉并经核实，存在以上运营商相关公司参与投标，将废除其投标资</w:t>
      </w:r>
      <w:bookmarkStart w:id="31" w:name="_GoBack"/>
      <w:bookmarkEnd w:id="31"/>
      <w:r>
        <w:rPr>
          <w:rFonts w:hint="eastAsia" w:cs="Times New Roman"/>
          <w:color w:val="000000"/>
          <w:kern w:val="2"/>
        </w:rPr>
        <w:t>格，并没收投标保证金。</w:t>
      </w:r>
      <w:r>
        <w:rPr>
          <w:rFonts w:cs="Times New Roman"/>
          <w:color w:val="000000"/>
          <w:kern w:val="2"/>
        </w:rPr>
        <w:br w:type="textWrapping"/>
      </w:r>
      <w:r>
        <w:rPr>
          <w:rFonts w:hint="eastAsia" w:cs="Times New Roman"/>
          <w:color w:val="000000"/>
          <w:kern w:val="2"/>
        </w:rPr>
        <w:t>三、报名及招标文件发售办法</w:t>
      </w:r>
      <w:r>
        <w:rPr>
          <w:rFonts w:hint="eastAsia" w:cs="Times New Roman"/>
          <w:color w:val="000000"/>
          <w:kern w:val="2"/>
        </w:rPr>
        <w:br w:type="textWrapping"/>
      </w:r>
      <w:r>
        <w:rPr>
          <w:rFonts w:hint="eastAsia" w:cs="Times New Roman"/>
          <w:color w:val="000000"/>
          <w:kern w:val="2"/>
        </w:rPr>
        <w:t>1、报名时间：2018年8月</w:t>
      </w:r>
      <w:r>
        <w:rPr>
          <w:rFonts w:hint="eastAsia" w:cs="Times New Roman"/>
          <w:color w:val="000000"/>
          <w:kern w:val="2"/>
          <w:lang w:val="en-US" w:eastAsia="zh-CN"/>
        </w:rPr>
        <w:t>14</w:t>
      </w:r>
      <w:r>
        <w:rPr>
          <w:rFonts w:hint="eastAsia" w:cs="Times New Roman"/>
          <w:color w:val="000000"/>
          <w:kern w:val="2"/>
        </w:rPr>
        <w:t>日至2018年8月1</w:t>
      </w:r>
      <w:r>
        <w:rPr>
          <w:rFonts w:hint="eastAsia" w:cs="Times New Roman"/>
          <w:color w:val="000000"/>
          <w:kern w:val="2"/>
          <w:lang w:val="en-US" w:eastAsia="zh-CN"/>
        </w:rPr>
        <w:t>9</w:t>
      </w:r>
      <w:r>
        <w:rPr>
          <w:rFonts w:hint="eastAsia" w:cs="Times New Roman"/>
          <w:color w:val="000000"/>
          <w:kern w:val="2"/>
        </w:rPr>
        <w:t>日（16:00 截止）</w:t>
      </w:r>
      <w:r>
        <w:rPr>
          <w:rFonts w:hint="eastAsia" w:cs="Times New Roman"/>
          <w:color w:val="000000"/>
          <w:kern w:val="2"/>
        </w:rPr>
        <w:br w:type="textWrapping"/>
      </w:r>
      <w:r>
        <w:rPr>
          <w:rFonts w:hint="eastAsia" w:cs="Times New Roman"/>
          <w:color w:val="000000"/>
          <w:kern w:val="2"/>
        </w:rPr>
        <w:t>2、报名时请提交报名登记表电子版一份，文件请发送至邮箱3514383943@qq.com，邮件标题</w:t>
      </w:r>
      <w:r>
        <w:rPr>
          <w:rFonts w:cs="Times New Roman"/>
          <w:color w:val="000000"/>
          <w:kern w:val="2"/>
        </w:rPr>
        <w:t>请注明项目及报名单位名称，不提交报名登记表的不得参与投标。（报名登记表格式请参见本公告发布网页的“文件下载”一栏）</w:t>
      </w:r>
      <w:r>
        <w:rPr>
          <w:rFonts w:cs="Times New Roman"/>
          <w:color w:val="000000"/>
          <w:kern w:val="2"/>
        </w:rPr>
        <w:br w:type="textWrapping"/>
      </w:r>
      <w:r>
        <w:rPr>
          <w:rFonts w:cs="Times New Roman"/>
          <w:color w:val="000000"/>
          <w:kern w:val="2"/>
        </w:rPr>
        <w:t>3、招标文件获取方式</w:t>
      </w:r>
      <w:r>
        <w:rPr>
          <w:rFonts w:cs="Times New Roman"/>
          <w:color w:val="000000"/>
          <w:kern w:val="2"/>
        </w:rPr>
        <w:br w:type="textWrapping"/>
      </w:r>
      <w:r>
        <w:rPr>
          <w:rFonts w:cs="Times New Roman"/>
          <w:color w:val="000000"/>
          <w:kern w:val="2"/>
        </w:rPr>
        <w:t>自招标公告发布之日起从招标公告发布网页自行下载。</w:t>
      </w:r>
      <w:r>
        <w:rPr>
          <w:rFonts w:cs="Times New Roman"/>
          <w:color w:val="000000"/>
          <w:kern w:val="2"/>
        </w:rPr>
        <w:br w:type="textWrapping"/>
      </w:r>
      <w:r>
        <w:rPr>
          <w:rFonts w:cs="Times New Roman"/>
          <w:color w:val="000000"/>
          <w:kern w:val="2"/>
        </w:rPr>
        <w:t>四、开标时间及地点</w:t>
      </w:r>
      <w:r>
        <w:rPr>
          <w:rFonts w:cs="Times New Roman"/>
          <w:color w:val="000000"/>
          <w:kern w:val="2"/>
        </w:rPr>
        <w:br w:type="textWrapping"/>
      </w:r>
      <w:r>
        <w:rPr>
          <w:rFonts w:cs="Times New Roman"/>
          <w:color w:val="000000"/>
          <w:kern w:val="2"/>
        </w:rPr>
        <w:t>1、开标时间：2018年</w:t>
      </w:r>
      <w:r>
        <w:rPr>
          <w:rFonts w:hint="eastAsia" w:cs="Times New Roman"/>
          <w:color w:val="000000"/>
          <w:kern w:val="2"/>
        </w:rPr>
        <w:t xml:space="preserve"> </w:t>
      </w:r>
      <w:r>
        <w:rPr>
          <w:rFonts w:cs="Times New Roman"/>
          <w:color w:val="000000"/>
          <w:kern w:val="2"/>
        </w:rPr>
        <w:t>8月</w:t>
      </w:r>
      <w:r>
        <w:rPr>
          <w:rFonts w:hint="eastAsia" w:cs="Times New Roman"/>
          <w:color w:val="000000"/>
          <w:kern w:val="2"/>
        </w:rPr>
        <w:t xml:space="preserve"> </w:t>
      </w:r>
      <w:r>
        <w:rPr>
          <w:rFonts w:cs="Times New Roman"/>
          <w:color w:val="000000"/>
          <w:kern w:val="2"/>
        </w:rPr>
        <w:t>2</w:t>
      </w:r>
      <w:r>
        <w:rPr>
          <w:rFonts w:hint="eastAsia" w:cs="Times New Roman"/>
          <w:color w:val="000000"/>
          <w:kern w:val="2"/>
          <w:lang w:val="en-US" w:eastAsia="zh-CN"/>
        </w:rPr>
        <w:t>4</w:t>
      </w:r>
      <w:r>
        <w:rPr>
          <w:rFonts w:cs="Times New Roman"/>
          <w:color w:val="000000"/>
          <w:kern w:val="2"/>
        </w:rPr>
        <w:t>日 上午9：30 时</w:t>
      </w:r>
      <w:r>
        <w:rPr>
          <w:rFonts w:cs="Times New Roman"/>
          <w:color w:val="000000"/>
          <w:kern w:val="2"/>
        </w:rPr>
        <w:br w:type="textWrapping"/>
      </w:r>
      <w:r>
        <w:rPr>
          <w:rFonts w:cs="Times New Roman"/>
          <w:color w:val="000000"/>
          <w:kern w:val="2"/>
        </w:rPr>
        <w:t>2、开标地点：安徽职业技术学院行政楼1127室</w:t>
      </w:r>
      <w:r>
        <w:rPr>
          <w:rFonts w:cs="Times New Roman"/>
          <w:color w:val="000000"/>
          <w:kern w:val="2"/>
        </w:rPr>
        <w:br w:type="textWrapping"/>
      </w:r>
      <w:r>
        <w:rPr>
          <w:rFonts w:cs="Times New Roman"/>
          <w:color w:val="000000"/>
          <w:kern w:val="2"/>
        </w:rPr>
        <w:t>五、投标截止时间</w:t>
      </w:r>
      <w:r>
        <w:rPr>
          <w:rFonts w:cs="Times New Roman"/>
          <w:color w:val="000000"/>
          <w:kern w:val="2"/>
        </w:rPr>
        <w:br w:type="textWrapping"/>
      </w:r>
      <w:r>
        <w:rPr>
          <w:rFonts w:cs="Times New Roman"/>
          <w:color w:val="000000"/>
          <w:kern w:val="2"/>
        </w:rPr>
        <w:t>同开标时间</w:t>
      </w:r>
      <w:r>
        <w:rPr>
          <w:rFonts w:cs="Times New Roman"/>
          <w:color w:val="000000"/>
          <w:kern w:val="2"/>
        </w:rPr>
        <w:br w:type="textWrapping"/>
      </w:r>
      <w:r>
        <w:rPr>
          <w:rFonts w:cs="Times New Roman"/>
          <w:color w:val="000000"/>
          <w:kern w:val="2"/>
        </w:rPr>
        <w:t xml:space="preserve">六：联系方法 </w:t>
      </w:r>
      <w:r>
        <w:rPr>
          <w:rFonts w:cs="Times New Roman"/>
          <w:color w:val="000000"/>
          <w:kern w:val="2"/>
        </w:rPr>
        <w:br w:type="textWrapping"/>
      </w:r>
      <w:r>
        <w:rPr>
          <w:rFonts w:cs="Times New Roman"/>
          <w:color w:val="000000"/>
          <w:kern w:val="2"/>
        </w:rPr>
        <w:t xml:space="preserve">地址：合肥市新站区文忠路安徽职业技术学院 </w:t>
      </w:r>
      <w:r>
        <w:rPr>
          <w:rFonts w:cs="Times New Roman"/>
          <w:color w:val="000000"/>
          <w:kern w:val="2"/>
        </w:rPr>
        <w:br w:type="textWrapping"/>
      </w:r>
      <w:r>
        <w:rPr>
          <w:rFonts w:cs="Times New Roman"/>
          <w:color w:val="000000"/>
          <w:kern w:val="2"/>
        </w:rPr>
        <w:t xml:space="preserve">联系人： 张老师 </w:t>
      </w:r>
      <w:r>
        <w:rPr>
          <w:rFonts w:cs="Times New Roman"/>
          <w:color w:val="000000"/>
          <w:kern w:val="2"/>
        </w:rPr>
        <w:br w:type="textWrapping"/>
      </w:r>
      <w:r>
        <w:rPr>
          <w:rFonts w:cs="Times New Roman"/>
          <w:color w:val="000000"/>
          <w:kern w:val="2"/>
        </w:rPr>
        <w:t xml:space="preserve">电 话： 0551-64680165 </w:t>
      </w:r>
    </w:p>
    <w:p>
      <w:pPr>
        <w:adjustRightInd w:val="0"/>
        <w:snapToGrid w:val="0"/>
        <w:spacing w:line="500" w:lineRule="atLeast"/>
        <w:jc w:val="center"/>
        <w:rPr>
          <w:rFonts w:ascii="宋体" w:hAnsi="宋体"/>
          <w:sz w:val="24"/>
        </w:rPr>
        <w:sectPr>
          <w:pgSz w:w="11906" w:h="16838"/>
          <w:pgMar w:top="1134" w:right="1134" w:bottom="1134" w:left="1134" w:header="567" w:footer="567" w:gutter="0"/>
          <w:pgNumType w:start="1" w:chapStyle="1" w:chapSep="emDash"/>
          <w:cols w:space="425" w:num="1"/>
          <w:titlePg/>
          <w:docGrid w:type="lines" w:linePitch="312" w:charSpace="0"/>
        </w:sectPr>
      </w:pPr>
    </w:p>
    <w:p>
      <w:pPr>
        <w:pStyle w:val="2"/>
        <w:keepNext w:val="0"/>
        <w:keepLines w:val="0"/>
        <w:pageBreakBefore/>
        <w:numPr>
          <w:ilvl w:val="0"/>
          <w:numId w:val="0"/>
        </w:numPr>
        <w:jc w:val="center"/>
        <w:rPr>
          <w:rFonts w:ascii="宋体" w:hAnsi="宋体"/>
          <w:bCs w:val="0"/>
          <w:sz w:val="28"/>
          <w:szCs w:val="28"/>
        </w:rPr>
      </w:pPr>
      <w:bookmarkStart w:id="1" w:name="_Toc517076091"/>
      <w:r>
        <w:rPr>
          <w:rFonts w:ascii="宋体" w:hAnsi="宋体"/>
          <w:bCs w:val="0"/>
          <w:sz w:val="28"/>
          <w:szCs w:val="28"/>
        </w:rPr>
        <w:t>投标人须知</w:t>
      </w:r>
      <w:bookmarkEnd w:id="0"/>
      <w:bookmarkEnd w:id="1"/>
    </w:p>
    <w:p>
      <w:pPr>
        <w:pStyle w:val="3"/>
        <w:numPr>
          <w:ilvl w:val="1"/>
          <w:numId w:val="2"/>
        </w:numPr>
        <w:tabs>
          <w:tab w:val="left" w:pos="720"/>
          <w:tab w:val="clear" w:pos="360"/>
        </w:tabs>
        <w:adjustRightInd w:val="0"/>
        <w:snapToGrid w:val="0"/>
        <w:spacing w:before="312" w:beforeLines="100" w:after="312" w:afterLines="100" w:line="240" w:lineRule="auto"/>
        <w:ind w:left="0" w:firstLine="0"/>
        <w:jc w:val="left"/>
        <w:textAlignment w:val="center"/>
        <w:rPr>
          <w:rFonts w:ascii="宋体" w:hAnsi="宋体" w:eastAsia="宋体"/>
          <w:bCs w:val="0"/>
          <w:szCs w:val="20"/>
        </w:rPr>
      </w:pPr>
      <w:bookmarkStart w:id="2" w:name="_Toc211192920"/>
      <w:bookmarkStart w:id="3" w:name="_Toc215567872"/>
      <w:r>
        <w:rPr>
          <w:rFonts w:hint="eastAsia" w:ascii="宋体" w:hAnsi="宋体" w:eastAsia="宋体"/>
          <w:bCs w:val="0"/>
          <w:szCs w:val="20"/>
        </w:rPr>
        <w:t xml:space="preserve"> </w:t>
      </w:r>
      <w:bookmarkStart w:id="4" w:name="_Toc517076092"/>
      <w:r>
        <w:rPr>
          <w:rFonts w:ascii="宋体" w:hAnsi="宋体" w:eastAsia="宋体"/>
          <w:bCs w:val="0"/>
          <w:szCs w:val="20"/>
        </w:rPr>
        <w:t>导则</w:t>
      </w:r>
      <w:bookmarkEnd w:id="2"/>
      <w:bookmarkEnd w:id="3"/>
      <w:bookmarkEnd w:id="4"/>
    </w:p>
    <w:p>
      <w:pPr>
        <w:pStyle w:val="13"/>
        <w:spacing w:line="360" w:lineRule="auto"/>
        <w:ind w:left="720" w:hanging="720" w:hangingChars="300"/>
        <w:rPr>
          <w:rFonts w:ascii="宋体" w:hAnsi="宋体"/>
          <w:sz w:val="24"/>
        </w:rPr>
      </w:pPr>
      <w:r>
        <w:rPr>
          <w:rFonts w:hint="eastAsia" w:ascii="宋体" w:hAnsi="宋体"/>
          <w:color w:val="000000"/>
          <w:sz w:val="24"/>
          <w:szCs w:val="24"/>
        </w:rPr>
        <w:t>1</w:t>
      </w:r>
      <w:r>
        <w:rPr>
          <w:rFonts w:ascii="宋体" w:hAnsi="宋体"/>
          <w:color w:val="000000"/>
          <w:sz w:val="24"/>
          <w:szCs w:val="24"/>
        </w:rPr>
        <w:t>.1.1 项目名</w:t>
      </w:r>
      <w:r>
        <w:rPr>
          <w:rFonts w:ascii="宋体" w:hAnsi="宋体"/>
          <w:sz w:val="24"/>
          <w:szCs w:val="24"/>
        </w:rPr>
        <w:t>称：安徽职业技术学院</w:t>
      </w:r>
      <w:r>
        <w:rPr>
          <w:rFonts w:hint="eastAsia" w:ascii="宋体" w:hAnsi="宋体"/>
          <w:sz w:val="24"/>
          <w:szCs w:val="24"/>
        </w:rPr>
        <w:t>2018年宿舍网网络运维服务托管项目</w:t>
      </w:r>
    </w:p>
    <w:p>
      <w:pPr>
        <w:pStyle w:val="13"/>
        <w:spacing w:line="360" w:lineRule="auto"/>
        <w:ind w:left="720" w:hanging="720" w:hangingChars="3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.1.2 招标人：</w:t>
      </w:r>
      <w:r>
        <w:rPr>
          <w:rFonts w:hint="eastAsia" w:ascii="宋体" w:hAnsi="宋体"/>
          <w:color w:val="000000"/>
          <w:sz w:val="24"/>
          <w:szCs w:val="24"/>
        </w:rPr>
        <w:t>安徽职业技术学院</w:t>
      </w:r>
    </w:p>
    <w:p>
      <w:pPr>
        <w:pStyle w:val="13"/>
        <w:spacing w:line="360" w:lineRule="auto"/>
        <w:ind w:left="720" w:hanging="720" w:hangingChars="3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.1.3 投标人：投标人应符合《中华人民共和国政府采购法》第二十二条的要求。</w:t>
      </w:r>
      <w:r>
        <w:rPr>
          <w:rFonts w:hint="eastAsia" w:ascii="宋体" w:hAnsi="宋体"/>
          <w:color w:val="000000"/>
          <w:sz w:val="24"/>
          <w:szCs w:val="24"/>
        </w:rPr>
        <w:t>4、</w:t>
      </w:r>
      <w:r>
        <w:rPr>
          <w:rFonts w:hint="eastAsia" w:ascii="宋体" w:hAnsi="宋体"/>
          <w:color w:val="000000"/>
          <w:sz w:val="24"/>
          <w:szCs w:val="24"/>
        </w:rPr>
        <w:tab/>
      </w:r>
      <w:r>
        <w:rPr>
          <w:rFonts w:hint="eastAsia" w:ascii="宋体" w:hAnsi="宋体"/>
          <w:color w:val="000000"/>
          <w:sz w:val="24"/>
          <w:szCs w:val="24"/>
        </w:rPr>
        <w:t>为确保营造后期校园内公平竞争，本项目不接受三家（电信、移动、联通）运营商公司（包含控股公司、参股公司、分公司、子公司等）参与投标。如有投诉并经核实，存在以上运营商相关公司参与投标，将废除其投标资格，并没收投标保证金</w:t>
      </w:r>
      <w:r>
        <w:rPr>
          <w:rFonts w:hint="eastAsia" w:ascii="宋体" w:hAnsi="宋体"/>
          <w:color w:val="000000"/>
          <w:sz w:val="24"/>
        </w:rPr>
        <w:t>。本项目不接受联合体投标。</w:t>
      </w:r>
    </w:p>
    <w:p>
      <w:pPr>
        <w:pStyle w:val="13"/>
        <w:spacing w:line="360" w:lineRule="auto"/>
        <w:ind w:left="720" w:hanging="720" w:hangingChars="3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.1.4 中标人：最终授予合同的投标人。</w:t>
      </w:r>
    </w:p>
    <w:p>
      <w:pPr>
        <w:pStyle w:val="3"/>
        <w:numPr>
          <w:ilvl w:val="1"/>
          <w:numId w:val="2"/>
        </w:numPr>
        <w:tabs>
          <w:tab w:val="left" w:pos="720"/>
          <w:tab w:val="clear" w:pos="360"/>
        </w:tabs>
        <w:adjustRightInd w:val="0"/>
        <w:snapToGrid w:val="0"/>
        <w:spacing w:before="312" w:beforeLines="100" w:after="312" w:afterLines="100" w:line="240" w:lineRule="auto"/>
        <w:ind w:left="0" w:firstLine="0"/>
        <w:jc w:val="left"/>
        <w:textAlignment w:val="center"/>
        <w:rPr>
          <w:rFonts w:ascii="宋体" w:hAnsi="宋体" w:eastAsia="宋体"/>
          <w:bCs w:val="0"/>
          <w:szCs w:val="20"/>
        </w:rPr>
      </w:pPr>
      <w:bookmarkStart w:id="5" w:name="_Toc517076095"/>
      <w:bookmarkStart w:id="6" w:name="_Toc215567875"/>
      <w:r>
        <w:rPr>
          <w:rFonts w:ascii="宋体" w:hAnsi="宋体" w:eastAsia="宋体"/>
          <w:bCs w:val="0"/>
          <w:szCs w:val="20"/>
        </w:rPr>
        <w:t>招标范围</w:t>
      </w:r>
      <w:bookmarkEnd w:id="5"/>
      <w:bookmarkEnd w:id="6"/>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w:t>
      </w:r>
      <w:r>
        <w:rPr>
          <w:rFonts w:eastAsia="楷体_GB2312"/>
          <w:b w:val="0"/>
          <w:bCs w:val="0"/>
          <w:sz w:val="28"/>
          <w:szCs w:val="24"/>
        </w:rPr>
        <w:t>.</w:t>
      </w:r>
      <w:r>
        <w:rPr>
          <w:rFonts w:hint="eastAsia" w:eastAsia="楷体_GB2312"/>
          <w:b w:val="0"/>
          <w:bCs w:val="0"/>
          <w:sz w:val="28"/>
          <w:szCs w:val="24"/>
        </w:rPr>
        <w:t>1项目背景</w:t>
      </w:r>
    </w:p>
    <w:p>
      <w:pPr>
        <w:spacing w:line="360" w:lineRule="auto"/>
        <w:ind w:firstLine="480" w:firstLineChars="200"/>
        <w:rPr>
          <w:rFonts w:ascii="宋体" w:hAnsi="宋体"/>
          <w:sz w:val="24"/>
        </w:rPr>
      </w:pPr>
      <w:r>
        <w:rPr>
          <w:rFonts w:hint="eastAsia" w:ascii="宋体" w:hAnsi="宋体"/>
          <w:sz w:val="24"/>
        </w:rPr>
        <w:t>我校于2017年暑期对学生宿舍网进行升级改造，将学生宿舍运营商网络全部割接进校园网，实现了全校网络的统一管理。经过升级改造，学生将能够更加便捷的访问校园网资源，为在线学习、网上选课、师生交流等提供了费用极低的网络通道，同时学生可以自主选择运营商访问Internet，获取更多互联网资源。目前我校全网络的拓扑图如下：</w:t>
      </w:r>
    </w:p>
    <w:p>
      <w:pPr>
        <w:spacing w:line="360" w:lineRule="auto"/>
        <w:jc w:val="center"/>
        <w:rPr>
          <w:rFonts w:ascii="宋体" w:hAnsi="宋体"/>
          <w:sz w:val="24"/>
        </w:rPr>
      </w:pPr>
      <w:r>
        <w:rPr>
          <w:rFonts w:ascii="宋体" w:hAnsi="宋体" w:cs="宋体"/>
          <w:kern w:val="0"/>
          <w:szCs w:val="21"/>
        </w:rPr>
        <w:drawing>
          <wp:inline distT="0" distB="0" distL="0" distR="0">
            <wp:extent cx="5436235" cy="3540125"/>
            <wp:effectExtent l="0" t="0" r="0" b="3175"/>
            <wp:docPr id="2" name="图片 2" descr="C:\Users\Pp\Desktop\全网拓扑图改造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Pp\Desktop\全网拓扑图改造后.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480812" cy="3569344"/>
                    </a:xfrm>
                    <a:prstGeom prst="rect">
                      <a:avLst/>
                    </a:prstGeom>
                    <a:noFill/>
                    <a:ln>
                      <a:noFill/>
                    </a:ln>
                  </pic:spPr>
                </pic:pic>
              </a:graphicData>
            </a:graphic>
          </wp:inline>
        </w:drawing>
      </w:r>
    </w:p>
    <w:p>
      <w:pPr>
        <w:spacing w:line="360" w:lineRule="auto"/>
        <w:ind w:firstLine="480" w:firstLineChars="200"/>
        <w:rPr>
          <w:rFonts w:ascii="宋体" w:hAnsi="宋体"/>
          <w:sz w:val="24"/>
        </w:rPr>
      </w:pPr>
      <w:r>
        <w:rPr>
          <w:rFonts w:hint="eastAsia" w:ascii="宋体" w:hAnsi="宋体"/>
          <w:sz w:val="24"/>
        </w:rPr>
        <w:t>目前学生宿舍网共包含有16台楼宇汇聚交换机（S3760、S2928等），131台接入交换机（锐捷S2328）；约有2932个信息点，约10000个用户。具体拓扑如下：</w:t>
      </w:r>
    </w:p>
    <w:p>
      <w:pPr>
        <w:spacing w:line="360" w:lineRule="auto"/>
        <w:jc w:val="center"/>
        <w:rPr>
          <w:rFonts w:ascii="宋体" w:hAnsi="宋体"/>
          <w:sz w:val="24"/>
        </w:rPr>
      </w:pPr>
      <w:r>
        <w:rPr>
          <w:rFonts w:ascii="宋体" w:hAnsi="宋体" w:cs="宋体"/>
          <w:kern w:val="0"/>
          <w:szCs w:val="21"/>
        </w:rPr>
        <w:drawing>
          <wp:inline distT="0" distB="0" distL="0" distR="0">
            <wp:extent cx="5359400" cy="4433570"/>
            <wp:effectExtent l="0" t="0" r="0" b="5080"/>
            <wp:docPr id="1" name="图片 1" descr="C:\Users\Pp\Desktop\安职宿舍网新拓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Pp\Desktop\安职宿舍网新拓扑.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60998" cy="4435199"/>
                    </a:xfrm>
                    <a:prstGeom prst="rect">
                      <a:avLst/>
                    </a:prstGeom>
                    <a:noFill/>
                    <a:ln>
                      <a:noFill/>
                    </a:ln>
                  </pic:spPr>
                </pic:pic>
              </a:graphicData>
            </a:graphic>
          </wp:inline>
        </w:drawing>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1.2.2维护范围及技术、时间响应要求</w:t>
      </w:r>
    </w:p>
    <w:p>
      <w:pPr>
        <w:spacing w:line="360" w:lineRule="auto"/>
        <w:ind w:firstLine="480" w:firstLineChars="200"/>
        <w:rPr>
          <w:rFonts w:ascii="宋体" w:hAnsi="宋体"/>
          <w:sz w:val="24"/>
        </w:rPr>
      </w:pPr>
      <w:r>
        <w:rPr>
          <w:rFonts w:hint="eastAsia" w:ascii="宋体" w:hAnsi="宋体"/>
          <w:sz w:val="24"/>
        </w:rPr>
        <w:t>我校宿舍网完成运营商融合套餐方案的升级改造，实现三家运营商共存一张网络。将委托运维商对宿舍网络进行日常维护管理，保障宿舍内部网络端口模块到交换机的连通性，对学生申报的故障及时处理，保证宿舍网的正常使用。</w:t>
      </w:r>
    </w:p>
    <w:p>
      <w:pPr>
        <w:spacing w:line="360" w:lineRule="auto"/>
        <w:ind w:firstLine="480" w:firstLineChars="200"/>
        <w:rPr>
          <w:rFonts w:ascii="宋体" w:hAnsi="宋体"/>
          <w:sz w:val="24"/>
        </w:rPr>
      </w:pPr>
      <w:r>
        <w:rPr>
          <w:rFonts w:hint="eastAsia" w:ascii="宋体" w:hAnsi="宋体"/>
          <w:sz w:val="24"/>
        </w:rPr>
        <w:t>维修范围:安徽职业技术学院所有学生宿舍校园网络（包括本部和能源校区），自核心交换机以下（不包含核心交换机）一直到用户端口（包含某些故障原因不明情况下与用户桌面端的协调）的所有维护，以及维护所需的零配件的更换（含交换机、线缆自然故障）等。但甲方有计划的综合布线工程及甲方有计划的网络建设工程等大器件的更新添置和批量工程不在外包范围内。</w:t>
      </w:r>
    </w:p>
    <w:p>
      <w:pPr>
        <w:spacing w:line="360" w:lineRule="auto"/>
        <w:ind w:firstLine="480" w:firstLineChars="200"/>
        <w:rPr>
          <w:rFonts w:ascii="宋体" w:hAnsi="宋体"/>
          <w:sz w:val="24"/>
        </w:rPr>
      </w:pPr>
      <w:r>
        <w:rPr>
          <w:rFonts w:hint="eastAsia" w:ascii="宋体" w:hAnsi="宋体"/>
          <w:sz w:val="24"/>
        </w:rPr>
        <w:t>具体维护业务包含如下：</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学生宿舍区弱电间基础环境的基础信息统计</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学生宿舍区有线网络的运维</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学生宿舍网运维服务</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学生宿舍区接入层网络设备维保服务</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协助学校网络信息中心进行日常网络维护</w:t>
      </w:r>
    </w:p>
    <w:p>
      <w:pPr>
        <w:pStyle w:val="5"/>
        <w:tabs>
          <w:tab w:val="left" w:pos="864"/>
        </w:tabs>
        <w:adjustRightInd w:val="0"/>
        <w:snapToGrid w:val="0"/>
        <w:spacing w:before="156" w:beforeLines="50" w:after="0" w:line="360" w:lineRule="auto"/>
        <w:ind w:left="864"/>
        <w:rPr>
          <w:rFonts w:ascii="宋体" w:hAnsi="宋体" w:eastAsia="宋体"/>
          <w:bCs w:val="0"/>
          <w:sz w:val="24"/>
          <w:szCs w:val="20"/>
        </w:rPr>
      </w:pPr>
      <w:r>
        <w:rPr>
          <w:rFonts w:hint="eastAsia" w:ascii="宋体" w:hAnsi="宋体" w:eastAsia="宋体"/>
          <w:bCs w:val="0"/>
          <w:sz w:val="24"/>
          <w:szCs w:val="20"/>
        </w:rPr>
        <w:t>1、弱电间基础环境的基础信息统计</w:t>
      </w:r>
    </w:p>
    <w:p>
      <w:pPr>
        <w:spacing w:line="360" w:lineRule="auto"/>
        <w:ind w:firstLine="480" w:firstLineChars="200"/>
        <w:rPr>
          <w:rFonts w:ascii="宋体" w:hAnsi="宋体"/>
          <w:sz w:val="24"/>
        </w:rPr>
      </w:pPr>
      <w:r>
        <w:rPr>
          <w:rFonts w:hint="eastAsia" w:ascii="宋体" w:hAnsi="宋体"/>
          <w:sz w:val="24"/>
        </w:rPr>
        <w:t>（1）运维服务范围</w:t>
      </w:r>
    </w:p>
    <w:p>
      <w:pPr>
        <w:spacing w:line="360" w:lineRule="auto"/>
        <w:ind w:firstLine="480" w:firstLineChars="200"/>
        <w:rPr>
          <w:rFonts w:ascii="宋体" w:hAnsi="宋体"/>
          <w:sz w:val="24"/>
        </w:rPr>
      </w:pPr>
      <w:r>
        <w:rPr>
          <w:rFonts w:hint="eastAsia" w:ascii="宋体" w:hAnsi="宋体"/>
          <w:sz w:val="24"/>
        </w:rPr>
        <w:t>运维商需对我校现有所有宿舍区的弱电间环境信息进行统计汇总，具体内容如下：</w:t>
      </w:r>
    </w:p>
    <w:p>
      <w:pPr>
        <w:spacing w:line="360" w:lineRule="auto"/>
        <w:ind w:firstLine="480" w:firstLineChars="200"/>
        <w:rPr>
          <w:rFonts w:ascii="宋体" w:hAnsi="宋体"/>
          <w:sz w:val="24"/>
        </w:rPr>
      </w:pPr>
      <w:r>
        <w:rPr>
          <w:rFonts w:hint="eastAsia" w:ascii="宋体" w:hAnsi="宋体"/>
          <w:sz w:val="24"/>
        </w:rPr>
        <w:t>1、对宿舍区的网线线缆进行统计，记录房间号、配线架、交换机端口的对应信息，形成基础综合布线信息库，录入运维服务管理系统中。</w:t>
      </w:r>
    </w:p>
    <w:p>
      <w:pPr>
        <w:spacing w:line="360" w:lineRule="auto"/>
        <w:ind w:firstLine="480" w:firstLineChars="200"/>
        <w:rPr>
          <w:rFonts w:ascii="宋体" w:hAnsi="宋体"/>
          <w:sz w:val="24"/>
        </w:rPr>
      </w:pPr>
      <w:r>
        <w:rPr>
          <w:rFonts w:hint="eastAsia" w:ascii="宋体" w:hAnsi="宋体"/>
          <w:sz w:val="24"/>
        </w:rPr>
        <w:t>2、对宿舍区的光缆进行统计，记录光缆配线架对应信息，形成基础光缆信息库，录入运维服务管理系统中。</w:t>
      </w:r>
    </w:p>
    <w:p>
      <w:pPr>
        <w:spacing w:line="360" w:lineRule="auto"/>
        <w:ind w:firstLine="480" w:firstLineChars="200"/>
        <w:rPr>
          <w:rFonts w:ascii="宋体" w:hAnsi="宋体"/>
          <w:sz w:val="24"/>
        </w:rPr>
      </w:pPr>
      <w:r>
        <w:rPr>
          <w:rFonts w:hint="eastAsia" w:ascii="宋体" w:hAnsi="宋体"/>
          <w:sz w:val="24"/>
        </w:rPr>
        <w:t>3、对宿舍网设备进行统计整理，记录设备型号、设备使用地点、设备序列号、设备管理地址、设备购买时间、设备质保时间等资产信息，形成设备基础资产信息库，录入运维服务管理系统中。</w:t>
      </w:r>
    </w:p>
    <w:p>
      <w:pPr>
        <w:spacing w:line="360" w:lineRule="auto"/>
        <w:ind w:firstLine="480" w:firstLineChars="200"/>
        <w:rPr>
          <w:rFonts w:ascii="宋体" w:hAnsi="宋体"/>
          <w:sz w:val="24"/>
        </w:rPr>
      </w:pPr>
      <w:r>
        <w:rPr>
          <w:rFonts w:hint="eastAsia" w:ascii="宋体" w:hAnsi="宋体"/>
          <w:sz w:val="24"/>
        </w:rPr>
        <w:t>（2）响应时间要求</w:t>
      </w:r>
    </w:p>
    <w:p>
      <w:pPr>
        <w:spacing w:line="360" w:lineRule="auto"/>
        <w:ind w:firstLine="480" w:firstLineChars="200"/>
        <w:rPr>
          <w:rFonts w:ascii="宋体" w:hAnsi="宋体"/>
          <w:sz w:val="24"/>
        </w:rPr>
      </w:pPr>
      <w:r>
        <w:rPr>
          <w:rFonts w:hint="eastAsia" w:ascii="宋体" w:hAnsi="宋体"/>
          <w:sz w:val="24"/>
        </w:rPr>
        <w:t>1个运维服务周期内。</w:t>
      </w:r>
    </w:p>
    <w:p>
      <w:pPr>
        <w:pStyle w:val="5"/>
        <w:tabs>
          <w:tab w:val="left" w:pos="864"/>
        </w:tabs>
        <w:adjustRightInd w:val="0"/>
        <w:snapToGrid w:val="0"/>
        <w:spacing w:before="156" w:beforeLines="50" w:after="0" w:line="360" w:lineRule="auto"/>
        <w:ind w:left="864"/>
        <w:rPr>
          <w:rFonts w:ascii="宋体" w:hAnsi="宋体" w:eastAsia="宋体"/>
          <w:bCs w:val="0"/>
          <w:sz w:val="24"/>
          <w:szCs w:val="20"/>
        </w:rPr>
      </w:pPr>
      <w:r>
        <w:rPr>
          <w:rFonts w:hint="eastAsia" w:ascii="宋体" w:hAnsi="宋体" w:eastAsia="宋体"/>
          <w:bCs w:val="0"/>
          <w:sz w:val="24"/>
          <w:szCs w:val="20"/>
        </w:rPr>
        <w:t>2、宿舍区有线网络</w:t>
      </w:r>
    </w:p>
    <w:p>
      <w:pPr>
        <w:spacing w:line="360" w:lineRule="auto"/>
        <w:ind w:firstLine="480" w:firstLineChars="200"/>
        <w:rPr>
          <w:rFonts w:ascii="宋体" w:hAnsi="宋体"/>
          <w:sz w:val="24"/>
        </w:rPr>
      </w:pPr>
      <w:r>
        <w:rPr>
          <w:rFonts w:hint="eastAsia" w:ascii="宋体" w:hAnsi="宋体"/>
          <w:sz w:val="24"/>
        </w:rPr>
        <w:t>（1）运维服务范围</w:t>
      </w:r>
    </w:p>
    <w:p>
      <w:pPr>
        <w:spacing w:line="360" w:lineRule="auto"/>
        <w:ind w:firstLine="480" w:firstLineChars="200"/>
        <w:rPr>
          <w:rFonts w:ascii="宋体" w:hAnsi="宋体"/>
          <w:sz w:val="24"/>
        </w:rPr>
      </w:pPr>
      <w:r>
        <w:rPr>
          <w:rFonts w:hint="eastAsia" w:ascii="宋体" w:hAnsi="宋体"/>
          <w:sz w:val="24"/>
        </w:rPr>
        <w:t>运维商需每天实时监控宿舍网的网络设备、网络安全设备的运行状态。每月进行设备巡检并备份设备的配置，发现设备故障及时处理，保证网络的正常运行。</w:t>
      </w:r>
    </w:p>
    <w:p>
      <w:pPr>
        <w:spacing w:line="360" w:lineRule="auto"/>
        <w:ind w:firstLine="480" w:firstLineChars="200"/>
        <w:rPr>
          <w:rFonts w:ascii="宋体" w:hAnsi="宋体"/>
          <w:sz w:val="24"/>
        </w:rPr>
      </w:pPr>
      <w:r>
        <w:rPr>
          <w:rFonts w:hint="eastAsia" w:ascii="宋体" w:hAnsi="宋体"/>
          <w:sz w:val="24"/>
        </w:rPr>
        <w:t xml:space="preserve">具体包含以下内容： </w:t>
      </w:r>
    </w:p>
    <w:p>
      <w:pPr>
        <w:spacing w:line="360" w:lineRule="auto"/>
        <w:ind w:firstLine="480" w:firstLineChars="200"/>
        <w:rPr>
          <w:rFonts w:ascii="宋体" w:hAnsi="宋体"/>
          <w:sz w:val="24"/>
        </w:rPr>
      </w:pPr>
      <w:r>
        <w:rPr>
          <w:rFonts w:hint="eastAsia" w:ascii="宋体" w:hAnsi="宋体"/>
          <w:sz w:val="24"/>
        </w:rPr>
        <w:t>日常运维：网络设备除尘；网络设备运行状态巡查；线路连接状态巡查；设备标签制作、粘贴检查；设备日志记录检查；配置文件备份与检查；端口、IP地址分配及调整；设备权限分配与维护（账号、密码、权限）；安全策略调整与备份；</w:t>
      </w:r>
    </w:p>
    <w:p>
      <w:pPr>
        <w:spacing w:line="360" w:lineRule="auto"/>
        <w:ind w:firstLine="480" w:firstLineChars="200"/>
        <w:rPr>
          <w:rFonts w:ascii="宋体" w:hAnsi="宋体"/>
          <w:sz w:val="24"/>
        </w:rPr>
      </w:pPr>
      <w:r>
        <w:rPr>
          <w:rFonts w:hint="eastAsia" w:ascii="宋体" w:hAnsi="宋体"/>
          <w:sz w:val="24"/>
        </w:rPr>
        <w:t>故障处理：网络故障的排查、分析、恢复；设备硬件报修及跟踪处理（需联络厂商处理）；故障处理报告；故障硬件或模块更换（需联络厂商处理）；</w:t>
      </w:r>
    </w:p>
    <w:p>
      <w:pPr>
        <w:spacing w:line="360" w:lineRule="auto"/>
        <w:ind w:firstLine="480" w:firstLineChars="200"/>
        <w:rPr>
          <w:rFonts w:ascii="宋体" w:hAnsi="宋体"/>
          <w:sz w:val="24"/>
        </w:rPr>
      </w:pPr>
      <w:r>
        <w:rPr>
          <w:rFonts w:hint="eastAsia" w:ascii="宋体" w:hAnsi="宋体"/>
          <w:sz w:val="24"/>
        </w:rPr>
        <w:t>实时监控：设备状态（供电、指示灯、CPU、内存等）监控；网络延时及丢包监控；网络连通性监控；网络设备端口/链路流量监控；</w:t>
      </w:r>
    </w:p>
    <w:p>
      <w:pPr>
        <w:spacing w:line="360" w:lineRule="auto"/>
        <w:ind w:firstLine="480" w:firstLineChars="200"/>
        <w:rPr>
          <w:rFonts w:ascii="宋体" w:hAnsi="宋体"/>
          <w:sz w:val="24"/>
        </w:rPr>
      </w:pPr>
      <w:r>
        <w:rPr>
          <w:rFonts w:hint="eastAsia" w:ascii="宋体" w:hAnsi="宋体"/>
          <w:sz w:val="24"/>
        </w:rPr>
        <w:t>定期巡检：每季度进行系统可用性检查；系统性能检查；</w:t>
      </w:r>
    </w:p>
    <w:p>
      <w:pPr>
        <w:spacing w:line="360" w:lineRule="auto"/>
        <w:ind w:firstLine="480" w:firstLineChars="200"/>
        <w:rPr>
          <w:rFonts w:ascii="宋体" w:hAnsi="宋体"/>
          <w:sz w:val="24"/>
        </w:rPr>
      </w:pPr>
      <w:r>
        <w:rPr>
          <w:rFonts w:hint="eastAsia" w:ascii="宋体" w:hAnsi="宋体"/>
          <w:sz w:val="24"/>
        </w:rPr>
        <w:t xml:space="preserve">系统优化：每半年评估网络运行状况；网络性能瓶颈原因分析；网络安全设备策略/配置优化方案；网络设备软件版本升级。 </w:t>
      </w:r>
    </w:p>
    <w:p>
      <w:pPr>
        <w:spacing w:line="360" w:lineRule="auto"/>
        <w:ind w:firstLine="480" w:firstLineChars="200"/>
        <w:rPr>
          <w:rFonts w:ascii="宋体" w:hAnsi="宋体"/>
          <w:sz w:val="24"/>
        </w:rPr>
      </w:pPr>
      <w:r>
        <w:rPr>
          <w:rFonts w:hint="eastAsia" w:ascii="宋体" w:hAnsi="宋体"/>
          <w:sz w:val="24"/>
        </w:rPr>
        <w:t>（2）响应时间要求</w:t>
      </w:r>
    </w:p>
    <w:p>
      <w:pPr>
        <w:spacing w:line="360" w:lineRule="auto"/>
        <w:ind w:firstLine="480" w:firstLineChars="200"/>
        <w:rPr>
          <w:rFonts w:ascii="宋体" w:hAnsi="宋体"/>
          <w:sz w:val="24"/>
        </w:rPr>
      </w:pPr>
      <w:r>
        <w:rPr>
          <w:rFonts w:hint="eastAsia" w:ascii="宋体" w:hAnsi="宋体"/>
          <w:sz w:val="24"/>
        </w:rPr>
        <w:t>1个运维服务周期内。</w:t>
      </w:r>
    </w:p>
    <w:p>
      <w:pPr>
        <w:pStyle w:val="5"/>
        <w:tabs>
          <w:tab w:val="left" w:pos="864"/>
        </w:tabs>
        <w:adjustRightInd w:val="0"/>
        <w:snapToGrid w:val="0"/>
        <w:spacing w:before="156" w:beforeLines="50" w:after="0" w:line="360" w:lineRule="auto"/>
        <w:ind w:left="864"/>
        <w:rPr>
          <w:rFonts w:ascii="宋体" w:hAnsi="宋体" w:eastAsia="宋体"/>
          <w:bCs w:val="0"/>
          <w:sz w:val="24"/>
          <w:szCs w:val="20"/>
        </w:rPr>
      </w:pPr>
      <w:r>
        <w:rPr>
          <w:rFonts w:hint="eastAsia" w:ascii="宋体" w:hAnsi="宋体" w:eastAsia="宋体"/>
          <w:bCs w:val="0"/>
          <w:sz w:val="24"/>
          <w:szCs w:val="20"/>
        </w:rPr>
        <w:t>3、宿舍网运维服务</w:t>
      </w:r>
    </w:p>
    <w:p>
      <w:pPr>
        <w:spacing w:line="360" w:lineRule="auto"/>
        <w:ind w:firstLine="480" w:firstLineChars="200"/>
        <w:rPr>
          <w:rFonts w:ascii="宋体" w:hAnsi="宋体"/>
          <w:sz w:val="24"/>
        </w:rPr>
      </w:pPr>
      <w:r>
        <w:rPr>
          <w:rFonts w:hint="eastAsia" w:ascii="宋体" w:hAnsi="宋体"/>
          <w:sz w:val="24"/>
        </w:rPr>
        <w:t>（1）运维服务范围</w:t>
      </w:r>
    </w:p>
    <w:p>
      <w:pPr>
        <w:spacing w:line="360" w:lineRule="auto"/>
        <w:ind w:firstLine="480" w:firstLineChars="200"/>
        <w:rPr>
          <w:rFonts w:ascii="宋体" w:hAnsi="宋体"/>
          <w:sz w:val="24"/>
        </w:rPr>
      </w:pPr>
      <w:r>
        <w:rPr>
          <w:rFonts w:hint="eastAsia" w:ascii="宋体" w:hAnsi="宋体"/>
          <w:sz w:val="24"/>
        </w:rPr>
        <w:t>运维商需提供对宿舍网络进行管理，保障宿舍内部网络端口模块到交换机的连通性，对学生申报的故障及时处理，保证宿舍网的正常使用。运维商需承包区域线路的维护维修，包括现有管线和线路的基本维护，接入线路一般性故障处理和零配件（如模块、水晶头、尾纤、局部小数量的网线等）的更换。</w:t>
      </w:r>
    </w:p>
    <w:p>
      <w:pPr>
        <w:spacing w:line="360" w:lineRule="auto"/>
        <w:ind w:firstLine="480" w:firstLineChars="200"/>
        <w:rPr>
          <w:rFonts w:ascii="宋体" w:hAnsi="宋体"/>
          <w:sz w:val="24"/>
        </w:rPr>
      </w:pPr>
      <w:r>
        <w:rPr>
          <w:rFonts w:hint="eastAsia" w:ascii="宋体" w:hAnsi="宋体"/>
          <w:sz w:val="24"/>
        </w:rPr>
        <w:t xml:space="preserve">具体包含以下内容： </w:t>
      </w:r>
    </w:p>
    <w:p>
      <w:pPr>
        <w:spacing w:line="360" w:lineRule="auto"/>
        <w:ind w:firstLine="480" w:firstLineChars="200"/>
        <w:rPr>
          <w:rFonts w:ascii="宋体" w:hAnsi="宋体"/>
          <w:sz w:val="24"/>
        </w:rPr>
      </w:pPr>
      <w:r>
        <w:rPr>
          <w:rFonts w:hint="eastAsia" w:ascii="宋体" w:hAnsi="宋体"/>
          <w:sz w:val="24"/>
        </w:rPr>
        <w:t>a)</w:t>
      </w:r>
      <w:r>
        <w:rPr>
          <w:rFonts w:hint="eastAsia" w:ascii="宋体" w:hAnsi="宋体"/>
          <w:sz w:val="24"/>
        </w:rPr>
        <w:tab/>
      </w:r>
      <w:r>
        <w:rPr>
          <w:rFonts w:hint="eastAsia" w:ascii="宋体" w:hAnsi="宋体"/>
          <w:sz w:val="24"/>
        </w:rPr>
        <w:t>宿舍网账户拨号失败问题的处理。</w:t>
      </w:r>
    </w:p>
    <w:p>
      <w:pPr>
        <w:spacing w:line="360" w:lineRule="auto"/>
        <w:ind w:firstLine="480" w:firstLineChars="200"/>
        <w:rPr>
          <w:rFonts w:ascii="宋体" w:hAnsi="宋体"/>
          <w:sz w:val="24"/>
        </w:rPr>
      </w:pPr>
      <w:r>
        <w:rPr>
          <w:rFonts w:ascii="宋体" w:hAnsi="宋体"/>
          <w:sz w:val="24"/>
        </w:rPr>
        <w:t>b</w:t>
      </w:r>
      <w:r>
        <w:rPr>
          <w:rFonts w:hint="eastAsia" w:ascii="宋体" w:hAnsi="宋体"/>
          <w:sz w:val="24"/>
        </w:rPr>
        <w:t>)</w:t>
      </w:r>
      <w:r>
        <w:rPr>
          <w:rFonts w:hint="eastAsia" w:ascii="宋体" w:hAnsi="宋体"/>
          <w:sz w:val="24"/>
        </w:rPr>
        <w:tab/>
      </w:r>
      <w:r>
        <w:rPr>
          <w:rFonts w:hint="eastAsia" w:ascii="宋体" w:hAnsi="宋体"/>
          <w:sz w:val="24"/>
        </w:rPr>
        <w:t>保证宿舍内网络端口的畅通有效性。</w:t>
      </w:r>
    </w:p>
    <w:p>
      <w:pPr>
        <w:spacing w:line="360" w:lineRule="auto"/>
        <w:ind w:firstLine="480" w:firstLineChars="200"/>
        <w:rPr>
          <w:rFonts w:ascii="宋体" w:hAnsi="宋体"/>
          <w:sz w:val="24"/>
        </w:rPr>
      </w:pPr>
      <w:r>
        <w:rPr>
          <w:rFonts w:ascii="宋体" w:hAnsi="宋体"/>
          <w:sz w:val="24"/>
        </w:rPr>
        <w:t>c</w:t>
      </w:r>
      <w:r>
        <w:rPr>
          <w:rFonts w:hint="eastAsia" w:ascii="宋体" w:hAnsi="宋体"/>
          <w:sz w:val="24"/>
        </w:rPr>
        <w:t>)</w:t>
      </w:r>
      <w:r>
        <w:rPr>
          <w:rFonts w:hint="eastAsia" w:ascii="宋体" w:hAnsi="宋体"/>
          <w:sz w:val="24"/>
        </w:rPr>
        <w:tab/>
      </w:r>
      <w:r>
        <w:rPr>
          <w:rFonts w:hint="eastAsia" w:ascii="宋体" w:hAnsi="宋体"/>
          <w:sz w:val="24"/>
        </w:rPr>
        <w:t>配合运营商，对宿舍网出口的调整、升级等。</w:t>
      </w:r>
    </w:p>
    <w:p>
      <w:pPr>
        <w:spacing w:line="360" w:lineRule="auto"/>
        <w:ind w:firstLine="480" w:firstLineChars="200"/>
        <w:rPr>
          <w:rFonts w:ascii="宋体" w:hAnsi="宋体"/>
          <w:sz w:val="24"/>
        </w:rPr>
      </w:pPr>
      <w:r>
        <w:rPr>
          <w:rFonts w:ascii="宋体" w:hAnsi="宋体"/>
          <w:sz w:val="24"/>
        </w:rPr>
        <w:t>d</w:t>
      </w:r>
      <w:r>
        <w:rPr>
          <w:rFonts w:hint="eastAsia" w:ascii="宋体" w:hAnsi="宋体"/>
          <w:sz w:val="24"/>
        </w:rPr>
        <w:t>)</w:t>
      </w:r>
      <w:r>
        <w:rPr>
          <w:rFonts w:hint="eastAsia" w:ascii="宋体" w:hAnsi="宋体"/>
          <w:sz w:val="24"/>
        </w:rPr>
        <w:tab/>
      </w:r>
      <w:r>
        <w:rPr>
          <w:rFonts w:hint="eastAsia" w:ascii="宋体" w:hAnsi="宋体"/>
          <w:sz w:val="24"/>
        </w:rPr>
        <w:t>配合学校完成每月与运营商的对账工作。</w:t>
      </w:r>
    </w:p>
    <w:p>
      <w:pPr>
        <w:spacing w:line="360" w:lineRule="auto"/>
        <w:ind w:firstLine="480" w:firstLineChars="200"/>
        <w:rPr>
          <w:rFonts w:ascii="宋体" w:hAnsi="宋体"/>
          <w:sz w:val="24"/>
        </w:rPr>
      </w:pPr>
      <w:r>
        <w:rPr>
          <w:rFonts w:hint="eastAsia" w:ascii="宋体" w:hAnsi="宋体"/>
          <w:sz w:val="24"/>
        </w:rPr>
        <w:t>（2）响应时间要求</w:t>
      </w:r>
    </w:p>
    <w:p>
      <w:pPr>
        <w:spacing w:line="360" w:lineRule="auto"/>
        <w:ind w:firstLine="480" w:firstLineChars="200"/>
        <w:rPr>
          <w:rFonts w:ascii="宋体" w:hAnsi="宋体"/>
          <w:sz w:val="24"/>
        </w:rPr>
      </w:pPr>
      <w:r>
        <w:rPr>
          <w:rFonts w:hint="eastAsia" w:ascii="宋体" w:hAnsi="宋体"/>
          <w:sz w:val="24"/>
        </w:rPr>
        <w:t>学生在校期间，响应时间要求1小时内，值班时间（8:00-22:00），包含法定节假日。学校可根据实际情况对值班时间进行调整，最长时间不会超过以上时间段。</w:t>
      </w:r>
    </w:p>
    <w:p>
      <w:pPr>
        <w:pStyle w:val="5"/>
        <w:tabs>
          <w:tab w:val="left" w:pos="864"/>
        </w:tabs>
        <w:adjustRightInd w:val="0"/>
        <w:snapToGrid w:val="0"/>
        <w:spacing w:before="156" w:beforeLines="50" w:after="0" w:line="360" w:lineRule="auto"/>
        <w:ind w:left="864"/>
        <w:rPr>
          <w:rFonts w:ascii="宋体" w:hAnsi="宋体" w:eastAsia="宋体"/>
          <w:bCs w:val="0"/>
          <w:sz w:val="24"/>
          <w:szCs w:val="20"/>
        </w:rPr>
      </w:pPr>
      <w:r>
        <w:rPr>
          <w:rFonts w:hint="eastAsia" w:ascii="宋体" w:hAnsi="宋体" w:eastAsia="宋体"/>
          <w:bCs w:val="0"/>
          <w:sz w:val="24"/>
          <w:szCs w:val="20"/>
        </w:rPr>
        <w:t>4、宿舍区接入层网络设备维保服务</w:t>
      </w:r>
    </w:p>
    <w:p>
      <w:pPr>
        <w:spacing w:line="360" w:lineRule="auto"/>
        <w:ind w:firstLine="480" w:firstLineChars="200"/>
        <w:rPr>
          <w:rFonts w:ascii="宋体" w:hAnsi="宋体"/>
          <w:sz w:val="24"/>
        </w:rPr>
      </w:pPr>
      <w:r>
        <w:rPr>
          <w:rFonts w:hint="eastAsia" w:ascii="宋体" w:hAnsi="宋体"/>
          <w:sz w:val="24"/>
        </w:rPr>
        <w:t>（1）运维服务范围</w:t>
      </w:r>
    </w:p>
    <w:p>
      <w:pPr>
        <w:spacing w:line="360" w:lineRule="auto"/>
        <w:ind w:firstLine="480" w:firstLineChars="200"/>
        <w:rPr>
          <w:rFonts w:ascii="宋体" w:hAnsi="宋体"/>
          <w:sz w:val="24"/>
        </w:rPr>
      </w:pPr>
      <w:r>
        <w:rPr>
          <w:rFonts w:hint="eastAsia" w:ascii="宋体" w:hAnsi="宋体"/>
          <w:sz w:val="24"/>
        </w:rPr>
        <w:t>我校宿舍网现有接入设备共计131台，部分设备已使用多年，此次运维服务需要保证所有接入设备的稳定可靠，保障所有宿舍区接入设备的正常运转。所有交换机配置及部署必须经过网络信息中心审核才可实施，不得随意调整和更改配置要求。包含新交换机的配置、现有交换机配置调整、故障交换机的一般性诊断与维护性修理、新交换机的配置与部署等一切与接入、汇聚交换机相关的维护。</w:t>
      </w:r>
    </w:p>
    <w:p>
      <w:pPr>
        <w:spacing w:line="360" w:lineRule="auto"/>
        <w:ind w:firstLine="480" w:firstLineChars="200"/>
        <w:rPr>
          <w:rFonts w:ascii="宋体" w:hAnsi="宋体"/>
          <w:sz w:val="24"/>
        </w:rPr>
      </w:pPr>
      <w:r>
        <w:rPr>
          <w:rFonts w:hint="eastAsia" w:ascii="宋体" w:hAnsi="宋体"/>
          <w:sz w:val="24"/>
        </w:rPr>
        <w:t>具体需包含以下内容：</w:t>
      </w:r>
    </w:p>
    <w:p>
      <w:pPr>
        <w:spacing w:line="360" w:lineRule="auto"/>
        <w:ind w:firstLine="480" w:firstLineChars="200"/>
        <w:rPr>
          <w:rFonts w:ascii="宋体" w:hAnsi="宋体"/>
          <w:sz w:val="24"/>
        </w:rPr>
      </w:pPr>
      <w:r>
        <w:rPr>
          <w:rFonts w:hint="eastAsia" w:ascii="宋体" w:hAnsi="宋体"/>
          <w:sz w:val="24"/>
        </w:rPr>
        <w:t>a)</w:t>
      </w:r>
      <w:r>
        <w:rPr>
          <w:rFonts w:hint="eastAsia" w:ascii="宋体" w:hAnsi="宋体"/>
          <w:sz w:val="24"/>
        </w:rPr>
        <w:tab/>
      </w:r>
      <w:r>
        <w:rPr>
          <w:rFonts w:hint="eastAsia" w:ascii="宋体" w:hAnsi="宋体"/>
          <w:sz w:val="24"/>
        </w:rPr>
        <w:t>接入设备的维护与调试。</w:t>
      </w:r>
    </w:p>
    <w:p>
      <w:pPr>
        <w:spacing w:line="360" w:lineRule="auto"/>
        <w:ind w:firstLine="480" w:firstLineChars="200"/>
        <w:rPr>
          <w:rFonts w:ascii="宋体" w:hAnsi="宋体"/>
          <w:sz w:val="24"/>
        </w:rPr>
      </w:pPr>
      <w:r>
        <w:rPr>
          <w:rFonts w:hint="eastAsia" w:ascii="宋体" w:hAnsi="宋体"/>
          <w:sz w:val="24"/>
        </w:rPr>
        <w:t>b)</w:t>
      </w:r>
      <w:r>
        <w:rPr>
          <w:rFonts w:hint="eastAsia" w:ascii="宋体" w:hAnsi="宋体"/>
          <w:sz w:val="24"/>
        </w:rPr>
        <w:tab/>
      </w:r>
      <w:r>
        <w:rPr>
          <w:rFonts w:hint="eastAsia" w:ascii="宋体" w:hAnsi="宋体"/>
          <w:sz w:val="24"/>
        </w:rPr>
        <w:t>配合学校排查接入设备故障。</w:t>
      </w:r>
    </w:p>
    <w:p>
      <w:pPr>
        <w:spacing w:line="360" w:lineRule="auto"/>
        <w:ind w:firstLine="480" w:firstLineChars="200"/>
        <w:rPr>
          <w:rFonts w:ascii="宋体" w:hAnsi="宋体"/>
          <w:sz w:val="24"/>
        </w:rPr>
      </w:pPr>
      <w:r>
        <w:rPr>
          <w:rFonts w:hint="eastAsia" w:ascii="宋体" w:hAnsi="宋体"/>
          <w:sz w:val="24"/>
        </w:rPr>
        <w:t>c)</w:t>
      </w:r>
      <w:r>
        <w:rPr>
          <w:rFonts w:hint="eastAsia" w:ascii="宋体" w:hAnsi="宋体"/>
          <w:sz w:val="24"/>
        </w:rPr>
        <w:tab/>
      </w:r>
      <w:r>
        <w:rPr>
          <w:rFonts w:hint="eastAsia" w:ascii="宋体" w:hAnsi="宋体"/>
          <w:sz w:val="24"/>
        </w:rPr>
        <w:t>若接入设备无法使用，需及时更换接入设备。</w:t>
      </w:r>
    </w:p>
    <w:p>
      <w:pPr>
        <w:spacing w:line="360" w:lineRule="auto"/>
        <w:ind w:firstLine="480" w:firstLineChars="200"/>
        <w:rPr>
          <w:rFonts w:ascii="宋体" w:hAnsi="宋体"/>
          <w:sz w:val="24"/>
        </w:rPr>
      </w:pPr>
      <w:r>
        <w:rPr>
          <w:rFonts w:hint="eastAsia" w:ascii="宋体" w:hAnsi="宋体"/>
          <w:sz w:val="24"/>
        </w:rPr>
        <w:t>d)</w:t>
      </w:r>
      <w:r>
        <w:rPr>
          <w:rFonts w:hint="eastAsia" w:ascii="宋体" w:hAnsi="宋体"/>
          <w:sz w:val="24"/>
        </w:rPr>
        <w:tab/>
      </w:r>
      <w:r>
        <w:rPr>
          <w:rFonts w:hint="eastAsia" w:ascii="宋体" w:hAnsi="宋体"/>
          <w:sz w:val="24"/>
        </w:rPr>
        <w:t>统计现有接入设备维保时长。</w:t>
      </w:r>
    </w:p>
    <w:p>
      <w:pPr>
        <w:spacing w:line="360" w:lineRule="auto"/>
        <w:ind w:firstLine="480" w:firstLineChars="200"/>
        <w:rPr>
          <w:rFonts w:ascii="宋体" w:hAnsi="宋体"/>
          <w:sz w:val="24"/>
        </w:rPr>
      </w:pPr>
      <w:r>
        <w:rPr>
          <w:rFonts w:hint="eastAsia" w:ascii="宋体" w:hAnsi="宋体"/>
          <w:sz w:val="24"/>
        </w:rPr>
        <w:t>（2）网络设备备用要求</w:t>
      </w:r>
    </w:p>
    <w:p>
      <w:pPr>
        <w:spacing w:line="360" w:lineRule="auto"/>
        <w:ind w:firstLine="480" w:firstLineChars="200"/>
        <w:rPr>
          <w:rFonts w:ascii="宋体" w:hAnsi="宋体"/>
          <w:sz w:val="24"/>
        </w:rPr>
      </w:pPr>
      <w:r>
        <w:rPr>
          <w:rFonts w:hint="eastAsia" w:ascii="宋体" w:hAnsi="宋体"/>
          <w:sz w:val="24"/>
        </w:rPr>
        <w:t>针对交换机可能损坏的情况，需常备不少于1台同类型的汇聚交换机和不少于1台同类型接入交换机以备更换。（若备用机被使用则及时补充备机）</w:t>
      </w:r>
    </w:p>
    <w:p>
      <w:pPr>
        <w:spacing w:line="360" w:lineRule="auto"/>
        <w:ind w:firstLine="480" w:firstLineChars="200"/>
        <w:rPr>
          <w:rFonts w:ascii="宋体" w:hAnsi="宋体"/>
          <w:sz w:val="24"/>
        </w:rPr>
      </w:pPr>
      <w:r>
        <w:rPr>
          <w:rFonts w:hint="eastAsia" w:ascii="宋体" w:hAnsi="宋体"/>
          <w:sz w:val="24"/>
        </w:rPr>
        <w:t>（3）响应时间要求</w:t>
      </w:r>
    </w:p>
    <w:p>
      <w:pPr>
        <w:spacing w:line="360" w:lineRule="auto"/>
        <w:ind w:firstLine="480" w:firstLineChars="200"/>
        <w:rPr>
          <w:rFonts w:ascii="宋体" w:hAnsi="宋体"/>
          <w:sz w:val="24"/>
        </w:rPr>
      </w:pPr>
      <w:r>
        <w:rPr>
          <w:rFonts w:hint="eastAsia" w:ascii="宋体" w:hAnsi="宋体"/>
          <w:sz w:val="24"/>
        </w:rPr>
        <w:t>学生在校期间，响应时间要求1小时内，值班时间（8:00-22:00），包含法定节假日。学校可根据实际情况对值班时间进行调整，最长时间不会超过以上时间段。</w:t>
      </w:r>
    </w:p>
    <w:p>
      <w:pPr>
        <w:pStyle w:val="5"/>
        <w:tabs>
          <w:tab w:val="left" w:pos="864"/>
        </w:tabs>
        <w:adjustRightInd w:val="0"/>
        <w:snapToGrid w:val="0"/>
        <w:spacing w:before="156" w:beforeLines="50" w:after="0" w:line="360" w:lineRule="auto"/>
        <w:ind w:left="864"/>
        <w:rPr>
          <w:rFonts w:ascii="宋体" w:hAnsi="宋体" w:eastAsia="宋体"/>
          <w:bCs w:val="0"/>
          <w:sz w:val="24"/>
          <w:szCs w:val="20"/>
        </w:rPr>
      </w:pPr>
      <w:r>
        <w:rPr>
          <w:rFonts w:hint="eastAsia" w:ascii="宋体" w:hAnsi="宋体" w:eastAsia="宋体"/>
          <w:bCs w:val="0"/>
          <w:sz w:val="24"/>
          <w:szCs w:val="20"/>
        </w:rPr>
        <w:t>5、新学期开学网络保障</w:t>
      </w:r>
    </w:p>
    <w:p>
      <w:pPr>
        <w:spacing w:line="360" w:lineRule="auto"/>
        <w:ind w:firstLine="480" w:firstLineChars="200"/>
        <w:rPr>
          <w:rFonts w:ascii="宋体" w:hAnsi="宋体"/>
          <w:sz w:val="24"/>
        </w:rPr>
      </w:pPr>
      <w:r>
        <w:rPr>
          <w:rFonts w:hint="eastAsia" w:ascii="宋体" w:hAnsi="宋体"/>
          <w:sz w:val="24"/>
        </w:rPr>
        <w:t>（1）运维服务范围</w:t>
      </w:r>
    </w:p>
    <w:p>
      <w:pPr>
        <w:spacing w:line="360" w:lineRule="auto"/>
        <w:ind w:firstLine="480" w:firstLineChars="200"/>
        <w:rPr>
          <w:rFonts w:ascii="宋体" w:hAnsi="宋体"/>
          <w:sz w:val="24"/>
        </w:rPr>
      </w:pPr>
      <w:r>
        <w:rPr>
          <w:rFonts w:hint="eastAsia" w:ascii="宋体" w:hAnsi="宋体"/>
          <w:sz w:val="24"/>
        </w:rPr>
        <w:t>寒暑假后开学期间为故障事件申报的高峰期，运维商需制定详细的运维人员计划，提供足够的运维人员数量保证开学期间的故障事件的处理。同时对当月的事件处理的解决率、及时率进行统计，结合运维服务考核办法进行考核评分及支付运维服务费用。</w:t>
      </w:r>
    </w:p>
    <w:p>
      <w:pPr>
        <w:spacing w:line="360" w:lineRule="auto"/>
        <w:ind w:firstLine="480" w:firstLineChars="200"/>
        <w:rPr>
          <w:rFonts w:ascii="宋体" w:hAnsi="宋体"/>
          <w:sz w:val="24"/>
        </w:rPr>
      </w:pPr>
      <w:r>
        <w:rPr>
          <w:rFonts w:hint="eastAsia" w:ascii="宋体" w:hAnsi="宋体"/>
          <w:sz w:val="24"/>
        </w:rPr>
        <w:t>需具体包含以下内容：</w:t>
      </w:r>
    </w:p>
    <w:p>
      <w:pPr>
        <w:spacing w:line="360" w:lineRule="auto"/>
        <w:ind w:firstLine="480" w:firstLineChars="200"/>
        <w:rPr>
          <w:rFonts w:ascii="宋体" w:hAnsi="宋体"/>
          <w:sz w:val="24"/>
        </w:rPr>
      </w:pPr>
      <w:r>
        <w:rPr>
          <w:rFonts w:hint="eastAsia" w:ascii="宋体" w:hAnsi="宋体"/>
          <w:sz w:val="24"/>
        </w:rPr>
        <w:t>a)</w:t>
      </w:r>
      <w:r>
        <w:rPr>
          <w:rFonts w:hint="eastAsia" w:ascii="宋体" w:hAnsi="宋体"/>
          <w:sz w:val="24"/>
        </w:rPr>
        <w:tab/>
      </w:r>
      <w:r>
        <w:rPr>
          <w:rFonts w:hint="eastAsia" w:ascii="宋体" w:hAnsi="宋体"/>
          <w:sz w:val="24"/>
        </w:rPr>
        <w:t>配合学校及运营商给学生提供宽带接入宣传材料</w:t>
      </w:r>
    </w:p>
    <w:p>
      <w:pPr>
        <w:spacing w:line="360" w:lineRule="auto"/>
        <w:ind w:firstLine="480" w:firstLineChars="200"/>
        <w:rPr>
          <w:rFonts w:ascii="宋体" w:hAnsi="宋体"/>
          <w:sz w:val="24"/>
        </w:rPr>
      </w:pPr>
      <w:r>
        <w:rPr>
          <w:rFonts w:hint="eastAsia" w:ascii="宋体" w:hAnsi="宋体"/>
          <w:sz w:val="24"/>
        </w:rPr>
        <w:t>b)</w:t>
      </w:r>
      <w:r>
        <w:rPr>
          <w:rFonts w:hint="eastAsia" w:ascii="宋体" w:hAnsi="宋体"/>
          <w:sz w:val="24"/>
        </w:rPr>
        <w:tab/>
      </w:r>
      <w:r>
        <w:rPr>
          <w:rFonts w:hint="eastAsia" w:ascii="宋体" w:hAnsi="宋体"/>
          <w:sz w:val="24"/>
        </w:rPr>
        <w:t>配合各运营商对新装宽带客户完成网络安装及调试</w:t>
      </w:r>
    </w:p>
    <w:p>
      <w:pPr>
        <w:spacing w:line="360" w:lineRule="auto"/>
        <w:ind w:firstLine="480" w:firstLineChars="200"/>
        <w:rPr>
          <w:rFonts w:ascii="宋体" w:hAnsi="宋体"/>
          <w:sz w:val="24"/>
        </w:rPr>
      </w:pPr>
      <w:r>
        <w:rPr>
          <w:rFonts w:hint="eastAsia" w:ascii="宋体" w:hAnsi="宋体"/>
          <w:sz w:val="24"/>
        </w:rPr>
        <w:t>c)</w:t>
      </w:r>
      <w:r>
        <w:rPr>
          <w:rFonts w:hint="eastAsia" w:ascii="宋体" w:hAnsi="宋体"/>
          <w:sz w:val="24"/>
        </w:rPr>
        <w:tab/>
      </w:r>
      <w:r>
        <w:rPr>
          <w:rFonts w:hint="eastAsia" w:ascii="宋体" w:hAnsi="宋体"/>
          <w:sz w:val="24"/>
        </w:rPr>
        <w:t>在各宿舍楼一楼大厅区域定制运维指示牌</w:t>
      </w:r>
    </w:p>
    <w:p>
      <w:pPr>
        <w:spacing w:line="360" w:lineRule="auto"/>
        <w:ind w:firstLine="480" w:firstLineChars="200"/>
        <w:rPr>
          <w:rFonts w:ascii="宋体" w:hAnsi="宋体"/>
          <w:sz w:val="24"/>
        </w:rPr>
      </w:pPr>
      <w:r>
        <w:rPr>
          <w:rFonts w:hint="eastAsia" w:ascii="宋体" w:hAnsi="宋体"/>
          <w:sz w:val="24"/>
        </w:rPr>
        <w:t>d)</w:t>
      </w:r>
      <w:r>
        <w:rPr>
          <w:rFonts w:hint="eastAsia" w:ascii="宋体" w:hAnsi="宋体"/>
          <w:sz w:val="24"/>
        </w:rPr>
        <w:tab/>
      </w:r>
      <w:r>
        <w:rPr>
          <w:rFonts w:hint="eastAsia" w:ascii="宋体" w:hAnsi="宋体"/>
          <w:sz w:val="24"/>
        </w:rPr>
        <w:t>新学期开学前需配备足够人手保障各运营商宽带运维工作</w:t>
      </w:r>
    </w:p>
    <w:p>
      <w:pPr>
        <w:spacing w:line="360" w:lineRule="auto"/>
        <w:ind w:firstLine="480" w:firstLineChars="200"/>
        <w:rPr>
          <w:rFonts w:ascii="宋体" w:hAnsi="宋体"/>
          <w:sz w:val="24"/>
        </w:rPr>
      </w:pPr>
      <w:r>
        <w:rPr>
          <w:rFonts w:hint="eastAsia" w:ascii="宋体" w:hAnsi="宋体"/>
          <w:sz w:val="24"/>
        </w:rPr>
        <w:t>（2）响应时间要求</w:t>
      </w:r>
    </w:p>
    <w:p>
      <w:pPr>
        <w:spacing w:line="360" w:lineRule="auto"/>
        <w:ind w:firstLine="480" w:firstLineChars="200"/>
        <w:rPr>
          <w:rFonts w:ascii="宋体" w:hAnsi="宋体"/>
          <w:sz w:val="24"/>
        </w:rPr>
      </w:pPr>
      <w:r>
        <w:rPr>
          <w:rFonts w:hint="eastAsia" w:ascii="宋体" w:hAnsi="宋体"/>
          <w:sz w:val="24"/>
        </w:rPr>
        <w:t>学生在校期间，响应时间要求1小时内，值班时间（8:00-22:00），包含法定节假日。学校可根据实际情况对值班时间进行调整，最长时间不会超过以上时间段。</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1.2.3运维服务方式及人员要求</w:t>
      </w:r>
    </w:p>
    <w:p>
      <w:pPr>
        <w:spacing w:line="360" w:lineRule="auto"/>
        <w:ind w:firstLine="480" w:firstLineChars="200"/>
        <w:rPr>
          <w:rFonts w:ascii="宋体" w:hAnsi="宋体"/>
          <w:sz w:val="24"/>
        </w:rPr>
      </w:pPr>
      <w:r>
        <w:rPr>
          <w:rFonts w:hint="eastAsia" w:ascii="宋体" w:hAnsi="宋体"/>
          <w:sz w:val="24"/>
        </w:rPr>
        <w:t>1、运维服务方式</w:t>
      </w:r>
    </w:p>
    <w:p>
      <w:pPr>
        <w:spacing w:line="360" w:lineRule="auto"/>
        <w:ind w:firstLine="480" w:firstLineChars="200"/>
        <w:rPr>
          <w:rFonts w:ascii="宋体" w:hAnsi="宋体"/>
          <w:sz w:val="24"/>
        </w:rPr>
      </w:pPr>
      <w:r>
        <w:rPr>
          <w:rFonts w:hint="eastAsia" w:ascii="宋体" w:hAnsi="宋体"/>
          <w:sz w:val="24"/>
        </w:rPr>
        <w:t>合同签订后，运维商需提供电话报修和网络报修两种方式，通过一线驻校工程师配合二线流动技术支持保障校园网络稳定运行，提供可靠的运维服务。具体要求如下：</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值班时间内提供电话报修及网络平台报修，故障用户可通过电话或微信平台等方式联系运维工程师，运维工程师接到报修后做好事件记录，及时跟踪处理。上门维护服务登记时，要有最终用户的签字认可。</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当网络或业务系统出现重大故障、割接升级等情况时，运维商需延长工作时间完成相关工作内容，工作时间不受值班时间段限制。</w:t>
      </w:r>
    </w:p>
    <w:p>
      <w:pPr>
        <w:spacing w:line="360" w:lineRule="auto"/>
        <w:ind w:firstLine="480" w:firstLineChars="200"/>
        <w:rPr>
          <w:rFonts w:ascii="宋体" w:hAnsi="宋体"/>
          <w:sz w:val="24"/>
        </w:rPr>
      </w:pPr>
      <w:r>
        <w:rPr>
          <w:rFonts w:hint="eastAsia" w:ascii="宋体" w:hAnsi="宋体"/>
          <w:sz w:val="24"/>
        </w:rPr>
        <w:t>2、运维人员要求</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运维商需派</w:t>
      </w:r>
      <w:r>
        <w:rPr>
          <w:rFonts w:ascii="宋体" w:hAnsi="宋体"/>
          <w:sz w:val="24"/>
        </w:rPr>
        <w:t>不低于</w:t>
      </w:r>
      <w:r>
        <w:rPr>
          <w:rFonts w:hint="eastAsia" w:ascii="宋体" w:hAnsi="宋体"/>
          <w:sz w:val="24"/>
        </w:rPr>
        <w:t>3名正式技术人员（因为牵涉女生宿舍，配备有女技术员1名）。具体驻点运维团队人数需运维商根据我校网络环境自行评估，最终人数必须和我校沟通确认，所有人员作息时间必须按照合理、合法的配比方式。</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运维工程师需具备一定的网络基础知识，具备独立排除常见网络故障能力。</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运维团队中，确认1名运维负责人，负责整个运维服务的管理，必须具备相应的工作经验。</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运维商需提交每月的人员排班表（包含：人员姓名、联系电话、值班时间），同时将月度排班表在学校网站及各栋宿舍楼区域通知栏公布。</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w:t>
      </w:r>
      <w:r>
        <w:rPr>
          <w:rFonts w:eastAsia="楷体_GB2312"/>
          <w:b w:val="0"/>
          <w:bCs w:val="0"/>
          <w:sz w:val="28"/>
          <w:szCs w:val="24"/>
        </w:rPr>
        <w:t>4</w:t>
      </w:r>
      <w:r>
        <w:rPr>
          <w:rFonts w:hint="eastAsia" w:eastAsia="楷体_GB2312"/>
          <w:b w:val="0"/>
          <w:bCs w:val="0"/>
          <w:sz w:val="28"/>
          <w:szCs w:val="24"/>
        </w:rPr>
        <w:t>运维服务工具</w:t>
      </w:r>
    </w:p>
    <w:p>
      <w:pPr>
        <w:spacing w:line="360" w:lineRule="auto"/>
        <w:ind w:firstLine="480" w:firstLineChars="200"/>
        <w:rPr>
          <w:rFonts w:ascii="宋体" w:hAnsi="宋体"/>
          <w:sz w:val="24"/>
        </w:rPr>
      </w:pPr>
      <w:r>
        <w:rPr>
          <w:rFonts w:hint="eastAsia" w:ascii="宋体" w:hAnsi="宋体"/>
          <w:sz w:val="24"/>
        </w:rPr>
        <w:t>1、租用运维服务管理平台（需提供真实环境现场演示，限时15分钟）</w:t>
      </w:r>
    </w:p>
    <w:p>
      <w:pPr>
        <w:spacing w:line="360" w:lineRule="auto"/>
        <w:ind w:firstLine="480" w:firstLineChars="200"/>
        <w:rPr>
          <w:rFonts w:ascii="宋体" w:hAnsi="宋体"/>
          <w:sz w:val="24"/>
        </w:rPr>
      </w:pPr>
      <w:r>
        <w:rPr>
          <w:rFonts w:hint="eastAsia" w:ascii="宋体" w:hAnsi="宋体"/>
          <w:sz w:val="24"/>
        </w:rPr>
        <w:t>运维商需提供一体化运维服务管理系统，集服务台管理，事件管理、问题管理、变更管理、配置管理、知识库管理、报表管理、发布管理等功能模块。运维管理系统需对接我校微信公众平台，实现故障报修的迅捷、高效以及网络运维的快速、主动。</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运维服务管理系统，提供使用权期限应大于运维服务期限，需部署在我校提供的服务器上，并提供与统一身份认证平台对接接口。</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系统在技术设计上基于B/S设计模式实现所有业务申请、流程审核、信息查询功能等。</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系统实行实名制管理，采取分级分权的运行管理模式。</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系统需对三大运营商授予查看权限，各运营商登陆系统后能看到对应用户的事件信息（装机、故障报修等）。</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系统每月能够提供汇总统计报表信息，针对各运营商提供用户的事件解决率（装机、故障报修）、事件解决及时率、事件回访满意率等统计报表。</w:t>
      </w:r>
    </w:p>
    <w:p>
      <w:pPr>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rPr>
        <w:tab/>
      </w:r>
      <w:r>
        <w:rPr>
          <w:rFonts w:hint="eastAsia" w:ascii="宋体" w:hAnsi="宋体"/>
          <w:sz w:val="24"/>
        </w:rPr>
        <w:t>系统需与现有的认证计费系统进行对接，根据用户的学号，可以查看用户的校园网账号、运营商账号、联系方式、MAC地址等信息。</w:t>
      </w:r>
    </w:p>
    <w:p>
      <w:pPr>
        <w:spacing w:line="360" w:lineRule="auto"/>
        <w:ind w:firstLine="480" w:firstLineChars="200"/>
        <w:rPr>
          <w:rFonts w:ascii="宋体" w:hAnsi="宋体"/>
          <w:sz w:val="24"/>
        </w:rPr>
      </w:pPr>
      <w:r>
        <w:rPr>
          <w:rFonts w:hint="eastAsia" w:ascii="宋体" w:hAnsi="宋体"/>
          <w:sz w:val="24"/>
        </w:rPr>
        <w:t>(7)</w:t>
      </w:r>
      <w:r>
        <w:rPr>
          <w:rFonts w:hint="eastAsia" w:ascii="宋体" w:hAnsi="宋体"/>
          <w:sz w:val="24"/>
        </w:rPr>
        <w:tab/>
      </w:r>
      <w:r>
        <w:rPr>
          <w:rFonts w:hint="eastAsia" w:ascii="宋体" w:hAnsi="宋体"/>
          <w:sz w:val="24"/>
        </w:rPr>
        <w:t>基础环境信息（网络配线架端口对应信息、交换机端口信息、光缆平面图、光纤配线架端口对应信息、设备资产信息）必须录入运维服务管理系统，在运维服务管理系统中以图表的形式呈现。</w:t>
      </w:r>
    </w:p>
    <w:p>
      <w:pPr>
        <w:spacing w:line="360" w:lineRule="auto"/>
        <w:ind w:firstLine="480" w:firstLineChars="200"/>
        <w:rPr>
          <w:rFonts w:ascii="宋体" w:hAnsi="宋体"/>
          <w:sz w:val="24"/>
        </w:rPr>
      </w:pPr>
      <w:r>
        <w:rPr>
          <w:rFonts w:hint="eastAsia" w:ascii="宋体" w:hAnsi="宋体"/>
          <w:sz w:val="24"/>
        </w:rPr>
        <w:t>2、运维耗材</w:t>
      </w:r>
    </w:p>
    <w:p>
      <w:pPr>
        <w:spacing w:line="360" w:lineRule="auto"/>
        <w:ind w:firstLine="480" w:firstLineChars="200"/>
        <w:rPr>
          <w:rFonts w:ascii="宋体" w:hAnsi="宋体"/>
          <w:sz w:val="24"/>
        </w:rPr>
      </w:pPr>
      <w:r>
        <w:rPr>
          <w:rFonts w:hint="eastAsia" w:ascii="宋体" w:hAnsi="宋体"/>
          <w:sz w:val="24"/>
        </w:rPr>
        <w:t>运维工具及辅材由运维商提供，主要包括：各类工具（含测试电脑、测试软件及其他测试工具）、各种线缆（经校方认可）、各类线槽、面板、接头等辅材。投标时，需提供具体清单。</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w:t>
      </w:r>
      <w:r>
        <w:rPr>
          <w:rFonts w:eastAsia="楷体_GB2312"/>
          <w:b w:val="0"/>
          <w:bCs w:val="0"/>
          <w:sz w:val="28"/>
          <w:szCs w:val="24"/>
        </w:rPr>
        <w:t>5</w:t>
      </w:r>
      <w:r>
        <w:rPr>
          <w:rFonts w:hint="eastAsia" w:eastAsia="楷体_GB2312"/>
          <w:b w:val="0"/>
          <w:bCs w:val="0"/>
          <w:sz w:val="28"/>
          <w:szCs w:val="24"/>
        </w:rPr>
        <w:t>运维服务要求</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1.2</w:t>
      </w:r>
      <w:r>
        <w:rPr>
          <w:rFonts w:eastAsia="楷体_GB2312"/>
          <w:b w:val="0"/>
          <w:bCs w:val="0"/>
          <w:sz w:val="28"/>
          <w:szCs w:val="24"/>
        </w:rPr>
        <w:t>.6</w:t>
      </w:r>
      <w:r>
        <w:rPr>
          <w:rFonts w:hint="eastAsia" w:eastAsia="楷体_GB2312"/>
          <w:b w:val="0"/>
          <w:bCs w:val="0"/>
          <w:sz w:val="28"/>
          <w:szCs w:val="24"/>
        </w:rPr>
        <w:t>工作要求</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运维商需在我校校园网用户服务管理的统一框架下展开工作，并平等对待校园网用户和其他各运营商用户，将所有不同用户全部看成安徽职业技术学院校园内的网络用户，确保一视同仁对待所有网络用户。</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运维商必须无条件承接任何网络用户的网络故障报修，对所有学生提供相同质量的服务；因运维商工作人员是在我校网络管理部门的框架下展开工作，其在用户面前代表安徽职业技术学院网络信息中心部门形象，因此，员工必须注意平时着装、态度和沟通方式，注意协调工作关系，不得与学生（用户）发生冲突。</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运维商不得擅自更改校园网软、硬件配置和网络拓扑、不得因技术或操作不当而损坏现有设施、设备，出现人为损坏需照价赔偿，产生的损失由运维商负责；运维商必须遵从学校各项管理规定，不得干预校园网管理。因故需要更改配置和拓扑时，需经学院相关技术管理人员的书面同意、审核并确定好更改方案、经授权后，方可进行。</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运维工程师业务上接受学校网络中心指导，运维工程师的绩效考核由运维团队内部考核，并交由网络中心备案；</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根据我校的管理需要，针对以下原因，校方有权要求更换运维工程师；</w:t>
      </w:r>
    </w:p>
    <w:p>
      <w:pPr>
        <w:spacing w:line="360" w:lineRule="auto"/>
        <w:ind w:firstLine="480" w:firstLineChars="200"/>
        <w:rPr>
          <w:rFonts w:ascii="宋体" w:hAnsi="宋体"/>
          <w:sz w:val="24"/>
        </w:rPr>
      </w:pPr>
      <w:r>
        <w:rPr>
          <w:rFonts w:ascii="宋体" w:hAnsi="宋体"/>
          <w:sz w:val="24"/>
        </w:rPr>
        <w:t></w:t>
      </w:r>
      <w:r>
        <w:rPr>
          <w:rFonts w:ascii="宋体" w:hAnsi="宋体"/>
          <w:sz w:val="24"/>
        </w:rPr>
        <w:tab/>
      </w:r>
      <w:r>
        <w:rPr>
          <w:rFonts w:hint="eastAsia" w:ascii="宋体" w:hAnsi="宋体"/>
          <w:sz w:val="24"/>
        </w:rPr>
        <w:t>对于连续三个月考核较低的运维工程师</w:t>
      </w:r>
    </w:p>
    <w:p>
      <w:pPr>
        <w:spacing w:line="360" w:lineRule="auto"/>
        <w:ind w:firstLine="480" w:firstLineChars="200"/>
        <w:rPr>
          <w:rFonts w:ascii="宋体" w:hAnsi="宋体"/>
          <w:sz w:val="24"/>
        </w:rPr>
      </w:pPr>
      <w:r>
        <w:rPr>
          <w:rFonts w:ascii="宋体" w:hAnsi="宋体"/>
          <w:sz w:val="24"/>
        </w:rPr>
        <w:t></w:t>
      </w:r>
      <w:r>
        <w:rPr>
          <w:rFonts w:ascii="宋体" w:hAnsi="宋体"/>
          <w:sz w:val="24"/>
        </w:rPr>
        <w:tab/>
      </w:r>
      <w:r>
        <w:rPr>
          <w:rFonts w:hint="eastAsia" w:ascii="宋体" w:hAnsi="宋体"/>
          <w:sz w:val="24"/>
        </w:rPr>
        <w:t>不符合行为规范的运维工程师</w:t>
      </w:r>
    </w:p>
    <w:p>
      <w:pPr>
        <w:spacing w:line="360" w:lineRule="auto"/>
        <w:ind w:firstLine="480" w:firstLineChars="200"/>
        <w:rPr>
          <w:rFonts w:ascii="宋体" w:hAnsi="宋体"/>
          <w:sz w:val="24"/>
        </w:rPr>
      </w:pPr>
      <w:r>
        <w:rPr>
          <w:rFonts w:ascii="宋体" w:hAnsi="宋体"/>
          <w:sz w:val="24"/>
        </w:rPr>
        <w:t></w:t>
      </w:r>
      <w:r>
        <w:rPr>
          <w:rFonts w:ascii="宋体" w:hAnsi="宋体"/>
          <w:sz w:val="24"/>
        </w:rPr>
        <w:tab/>
      </w:r>
      <w:r>
        <w:rPr>
          <w:rFonts w:hint="eastAsia" w:ascii="宋体" w:hAnsi="宋体"/>
          <w:sz w:val="24"/>
        </w:rPr>
        <w:t>技术能力没有达到我校要求的运维工程师</w:t>
      </w:r>
    </w:p>
    <w:p>
      <w:pPr>
        <w:spacing w:line="360" w:lineRule="auto"/>
        <w:ind w:firstLine="480" w:firstLineChars="200"/>
        <w:rPr>
          <w:rFonts w:ascii="宋体" w:hAnsi="宋体"/>
          <w:sz w:val="24"/>
        </w:rPr>
      </w:pPr>
      <w:r>
        <w:rPr>
          <w:rFonts w:ascii="宋体" w:hAnsi="宋体"/>
          <w:sz w:val="24"/>
        </w:rPr>
        <w:t></w:t>
      </w:r>
      <w:r>
        <w:rPr>
          <w:rFonts w:ascii="宋体" w:hAnsi="宋体"/>
          <w:sz w:val="24"/>
        </w:rPr>
        <w:tab/>
      </w:r>
      <w:r>
        <w:rPr>
          <w:rFonts w:hint="eastAsia" w:ascii="宋体" w:hAnsi="宋体"/>
          <w:sz w:val="24"/>
        </w:rPr>
        <w:t>由于个人失误造成重大影响的运维工程师</w:t>
      </w:r>
    </w:p>
    <w:p>
      <w:pPr>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rPr>
        <w:tab/>
      </w:r>
      <w:r>
        <w:rPr>
          <w:rFonts w:hint="eastAsia" w:ascii="宋体" w:hAnsi="宋体"/>
          <w:sz w:val="24"/>
        </w:rPr>
        <w:t>运维工程师必须严格遵守学校制定的各项规章制度和劳动纪律，能充分体现是代表校方在行使网络维护权力；</w:t>
      </w:r>
    </w:p>
    <w:p>
      <w:pPr>
        <w:spacing w:line="360" w:lineRule="auto"/>
        <w:ind w:firstLine="480" w:firstLineChars="200"/>
        <w:rPr>
          <w:rFonts w:ascii="宋体" w:hAnsi="宋体"/>
          <w:sz w:val="24"/>
        </w:rPr>
      </w:pPr>
      <w:r>
        <w:rPr>
          <w:rFonts w:hint="eastAsia" w:ascii="宋体" w:hAnsi="宋体"/>
          <w:sz w:val="24"/>
        </w:rPr>
        <w:t>(7)</w:t>
      </w:r>
      <w:r>
        <w:rPr>
          <w:rFonts w:hint="eastAsia" w:ascii="宋体" w:hAnsi="宋体"/>
          <w:sz w:val="24"/>
        </w:rPr>
        <w:tab/>
      </w:r>
      <w:r>
        <w:rPr>
          <w:rFonts w:hint="eastAsia" w:ascii="宋体" w:hAnsi="宋体"/>
          <w:sz w:val="24"/>
        </w:rPr>
        <w:t>运维工程师工作态度认真，对用户服务热情、周到，工作中能听从我校的管理和安排；</w:t>
      </w:r>
    </w:p>
    <w:p>
      <w:pPr>
        <w:spacing w:line="360" w:lineRule="auto"/>
        <w:ind w:firstLine="480" w:firstLineChars="200"/>
        <w:rPr>
          <w:rFonts w:ascii="宋体" w:hAnsi="宋体"/>
          <w:sz w:val="24"/>
        </w:rPr>
      </w:pPr>
      <w:r>
        <w:rPr>
          <w:rFonts w:hint="eastAsia" w:ascii="宋体" w:hAnsi="宋体"/>
          <w:sz w:val="24"/>
        </w:rPr>
        <w:t>(8)</w:t>
      </w:r>
      <w:r>
        <w:rPr>
          <w:rFonts w:hint="eastAsia" w:ascii="宋体" w:hAnsi="宋体"/>
          <w:sz w:val="24"/>
        </w:rPr>
        <w:tab/>
      </w:r>
      <w:r>
        <w:rPr>
          <w:rFonts w:hint="eastAsia" w:ascii="宋体" w:hAnsi="宋体"/>
          <w:sz w:val="24"/>
        </w:rPr>
        <w:t>对弱电间所进行定期的打扫，保证日常的环境整洁；</w:t>
      </w:r>
    </w:p>
    <w:p>
      <w:pPr>
        <w:spacing w:line="360" w:lineRule="auto"/>
        <w:ind w:firstLine="480" w:firstLineChars="200"/>
        <w:rPr>
          <w:rFonts w:ascii="宋体" w:hAnsi="宋体"/>
          <w:sz w:val="24"/>
        </w:rPr>
      </w:pPr>
      <w:r>
        <w:rPr>
          <w:rFonts w:hint="eastAsia" w:ascii="宋体" w:hAnsi="宋体"/>
          <w:sz w:val="24"/>
        </w:rPr>
        <w:t>(9)</w:t>
      </w:r>
      <w:r>
        <w:rPr>
          <w:rFonts w:hint="eastAsia" w:ascii="宋体" w:hAnsi="宋体"/>
          <w:sz w:val="24"/>
        </w:rPr>
        <w:tab/>
      </w:r>
      <w:r>
        <w:rPr>
          <w:rFonts w:hint="eastAsia" w:ascii="宋体" w:hAnsi="宋体"/>
          <w:sz w:val="24"/>
        </w:rPr>
        <w:t>遵守保密制度，做好校内网络资料的保密工作；</w:t>
      </w:r>
    </w:p>
    <w:p>
      <w:pPr>
        <w:spacing w:line="360" w:lineRule="auto"/>
        <w:ind w:firstLine="480" w:firstLineChars="200"/>
        <w:rPr>
          <w:rFonts w:ascii="宋体" w:hAnsi="宋体"/>
          <w:sz w:val="24"/>
        </w:rPr>
      </w:pPr>
      <w:r>
        <w:rPr>
          <w:rFonts w:hint="eastAsia" w:ascii="宋体" w:hAnsi="宋体"/>
          <w:sz w:val="24"/>
        </w:rPr>
        <w:t>(10)</w:t>
      </w:r>
      <w:r>
        <w:rPr>
          <w:rFonts w:hint="eastAsia" w:ascii="宋体" w:hAnsi="宋体"/>
          <w:sz w:val="24"/>
        </w:rPr>
        <w:tab/>
      </w:r>
      <w:r>
        <w:rPr>
          <w:rFonts w:hint="eastAsia" w:ascii="宋体" w:hAnsi="宋体"/>
          <w:sz w:val="24"/>
        </w:rPr>
        <w:t>指定1名技术骨干作为维护技术主管，与学校相关责任老师及时沟通，做到每周五书面汇报一周所发生的具体运维事件和解决办法；</w:t>
      </w:r>
    </w:p>
    <w:p>
      <w:pPr>
        <w:spacing w:line="360" w:lineRule="auto"/>
        <w:ind w:firstLine="480" w:firstLineChars="200"/>
        <w:rPr>
          <w:rFonts w:ascii="宋体" w:hAnsi="宋体"/>
          <w:sz w:val="24"/>
        </w:rPr>
      </w:pPr>
      <w:r>
        <w:rPr>
          <w:rFonts w:hint="eastAsia" w:ascii="宋体" w:hAnsi="宋体"/>
          <w:sz w:val="24"/>
        </w:rPr>
        <w:t>(11)</w:t>
      </w:r>
      <w:r>
        <w:rPr>
          <w:rFonts w:hint="eastAsia" w:ascii="宋体" w:hAnsi="宋体"/>
          <w:sz w:val="24"/>
        </w:rPr>
        <w:tab/>
      </w:r>
      <w:r>
        <w:rPr>
          <w:rFonts w:hint="eastAsia" w:ascii="宋体" w:hAnsi="宋体"/>
          <w:sz w:val="24"/>
        </w:rPr>
        <w:t>积极参加校方组织的统一培训、总结会议，定期、及时将运营情况向公司和学校汇报，做好与学校老师的工作交流协调与配合，以便工作流程顺畅；</w:t>
      </w:r>
    </w:p>
    <w:p>
      <w:pPr>
        <w:spacing w:line="360" w:lineRule="auto"/>
        <w:ind w:firstLine="480" w:firstLineChars="200"/>
        <w:rPr>
          <w:rFonts w:ascii="宋体" w:hAnsi="宋体"/>
          <w:sz w:val="24"/>
        </w:rPr>
      </w:pPr>
      <w:r>
        <w:rPr>
          <w:rFonts w:hint="eastAsia" w:ascii="宋体" w:hAnsi="宋体"/>
          <w:sz w:val="24"/>
        </w:rPr>
        <w:t>(12)</w:t>
      </w:r>
      <w:r>
        <w:rPr>
          <w:rFonts w:hint="eastAsia" w:ascii="宋体" w:hAnsi="宋体"/>
          <w:sz w:val="24"/>
        </w:rPr>
        <w:tab/>
      </w:r>
      <w:r>
        <w:rPr>
          <w:rFonts w:hint="eastAsia" w:ascii="宋体" w:hAnsi="宋体"/>
          <w:sz w:val="24"/>
        </w:rPr>
        <w:t>认真对待和处理与运营商之间的关系。处理用户报修时不推诿，遇到解决不了的运营商故障问题，做到首问负责：责任人首先向学校相关责任老师汇报，由相关责任老师决定处理办法，再由责任人具体执行并反馈用户，尽量避免让用户直接联系运营商。</w:t>
      </w:r>
    </w:p>
    <w:p>
      <w:pPr>
        <w:spacing w:line="360" w:lineRule="auto"/>
        <w:ind w:firstLine="480" w:firstLineChars="200"/>
        <w:rPr>
          <w:rFonts w:ascii="宋体" w:hAnsi="宋体"/>
          <w:sz w:val="24"/>
        </w:rPr>
      </w:pPr>
      <w:r>
        <w:rPr>
          <w:rFonts w:hint="eastAsia" w:ascii="宋体" w:hAnsi="宋体"/>
          <w:sz w:val="24"/>
        </w:rPr>
        <w:t>(13)</w:t>
      </w:r>
      <w:r>
        <w:rPr>
          <w:rFonts w:hint="eastAsia" w:ascii="宋体" w:hAnsi="宋体"/>
          <w:sz w:val="24"/>
        </w:rPr>
        <w:tab/>
      </w:r>
      <w:r>
        <w:rPr>
          <w:rFonts w:hint="eastAsia" w:ascii="宋体" w:hAnsi="宋体"/>
          <w:sz w:val="24"/>
        </w:rPr>
        <w:t>需提供驻点工程师为运维商正式职工的证明（社保、聘用合同证明等）。</w:t>
      </w:r>
    </w:p>
    <w:p>
      <w:pPr>
        <w:spacing w:line="360" w:lineRule="auto"/>
        <w:ind w:firstLine="480" w:firstLineChars="200"/>
        <w:rPr>
          <w:rFonts w:ascii="宋体" w:hAnsi="宋体"/>
          <w:sz w:val="24"/>
        </w:rPr>
      </w:pPr>
      <w:r>
        <w:rPr>
          <w:rFonts w:hint="eastAsia" w:ascii="宋体" w:hAnsi="宋体"/>
          <w:sz w:val="24"/>
        </w:rPr>
        <w:t>2、服务态度</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做到待人执情、诚恳礼貌、言行雅正，举止文明。</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接电话时首先要问“你好”，挂电话前要说“再见”，通话过程中要保持专注倾听，并及时给予对方反馈，要热情、耐心、细致，做好沟通协调。</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上门为服务对象提供服务前，必须做好相关准备工作，包括信息收集、备件、工具、证件以及预约时间等。做到一次性服务完结，避免返工费时；上门服务时要先敲门，得到许可后方可进门。进门后主动说明来意，并在得到允许后方可操作用户计算机。</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受理投诉服务时，应保持平和语调，稳定服务对象情绪，耐心解释，避免直接回绝。对范围内的问题要协调尽快解决，对于超出服务范围的要求，也要予以劝慰、说服。</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运维工程师不应向用户过度承诺，属职责权限之外的事项要及时报请运维负责人决定，对于紧急状况，可直接向信息网络中心反映。</w:t>
      </w:r>
    </w:p>
    <w:p>
      <w:pPr>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rPr>
        <w:tab/>
      </w:r>
      <w:r>
        <w:rPr>
          <w:rFonts w:hint="eastAsia" w:ascii="宋体" w:hAnsi="宋体"/>
          <w:sz w:val="24"/>
        </w:rPr>
        <w:t>秉持微笑服务理念，善待每一位网络用户。</w:t>
      </w:r>
    </w:p>
    <w:p>
      <w:pPr>
        <w:spacing w:line="360" w:lineRule="auto"/>
        <w:ind w:firstLine="480" w:firstLineChars="200"/>
        <w:rPr>
          <w:rFonts w:ascii="宋体" w:hAnsi="宋体"/>
          <w:sz w:val="24"/>
        </w:rPr>
      </w:pPr>
      <w:r>
        <w:rPr>
          <w:rFonts w:hint="eastAsia" w:ascii="宋体" w:hAnsi="宋体"/>
          <w:sz w:val="24"/>
        </w:rPr>
        <w:t>3、其他要求</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我校将设置运维服务投诉电话和邮箱，接受用户和运营商对运维商的相关投诉，校方经核实后计入每月的运维服务考核中。</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投标方须经常对运维服务人员就职业道德、业务技能、服务态度等进行全方位的培训和提升，并按照国家法律法规对服务人员提供相应的社会保障。</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运维服务团队需建立和管理运维QQ群或微信群，负责相关网络问题的咨询及答疑。</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学校校园网可能需要不定时期地进行建设，服务承包者需积极配合学校管理部门展开相关工作。</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 xml:space="preserve">学校提供以下内容： </w:t>
      </w:r>
    </w:p>
    <w:p>
      <w:pPr>
        <w:spacing w:line="360" w:lineRule="auto"/>
        <w:ind w:firstLine="480" w:firstLineChars="200"/>
        <w:rPr>
          <w:rFonts w:ascii="宋体" w:hAnsi="宋体"/>
          <w:sz w:val="24"/>
        </w:rPr>
      </w:pPr>
      <w:r>
        <w:rPr>
          <w:rFonts w:hint="eastAsia" w:ascii="宋体" w:hAnsi="宋体"/>
          <w:sz w:val="24"/>
        </w:rPr>
        <w:t>办公值班室1间；值班电话1部；若有需要可为运营商值班人员办理安职校园卡，但服务期满且未续期时需主动注销该卡。</w:t>
      </w:r>
    </w:p>
    <w:p>
      <w:pPr>
        <w:pStyle w:val="3"/>
        <w:numPr>
          <w:ilvl w:val="1"/>
          <w:numId w:val="2"/>
        </w:numPr>
        <w:tabs>
          <w:tab w:val="left" w:pos="720"/>
          <w:tab w:val="clear" w:pos="360"/>
        </w:tabs>
        <w:adjustRightInd w:val="0"/>
        <w:snapToGrid w:val="0"/>
        <w:spacing w:before="312" w:beforeLines="100" w:after="312" w:afterLines="100" w:line="240" w:lineRule="auto"/>
        <w:ind w:left="0" w:firstLine="0"/>
        <w:jc w:val="left"/>
        <w:textAlignment w:val="center"/>
        <w:rPr>
          <w:rFonts w:ascii="宋体" w:hAnsi="宋体" w:eastAsia="宋体"/>
          <w:bCs w:val="0"/>
          <w:szCs w:val="20"/>
        </w:rPr>
      </w:pPr>
      <w:r>
        <w:rPr>
          <w:rFonts w:hint="eastAsia" w:ascii="宋体" w:hAnsi="宋体" w:eastAsia="宋体"/>
          <w:bCs w:val="0"/>
          <w:szCs w:val="20"/>
        </w:rPr>
        <w:t>投标报价</w:t>
      </w:r>
    </w:p>
    <w:p>
      <w:pPr>
        <w:spacing w:line="360" w:lineRule="auto"/>
        <w:ind w:firstLine="480" w:firstLineChars="200"/>
        <w:rPr>
          <w:rFonts w:ascii="宋体" w:hAnsi="宋体"/>
          <w:sz w:val="24"/>
        </w:rPr>
      </w:pPr>
      <w:r>
        <w:rPr>
          <w:rFonts w:hint="eastAsia" w:ascii="宋体" w:hAnsi="宋体"/>
          <w:sz w:val="24"/>
        </w:rPr>
        <w:t>1、报价方式</w:t>
      </w:r>
    </w:p>
    <w:p>
      <w:pPr>
        <w:spacing w:line="360" w:lineRule="auto"/>
        <w:ind w:firstLine="480" w:firstLineChars="200"/>
        <w:rPr>
          <w:rFonts w:ascii="宋体" w:hAnsi="宋体"/>
          <w:sz w:val="24"/>
        </w:rPr>
      </w:pPr>
      <w:r>
        <w:rPr>
          <w:rFonts w:hint="eastAsia" w:ascii="宋体" w:hAnsi="宋体"/>
          <w:sz w:val="24"/>
        </w:rPr>
        <w:t>投标人须根据以上内容和要求对为期1年的运维服务进行总体报价。</w:t>
      </w:r>
    </w:p>
    <w:p>
      <w:pPr>
        <w:spacing w:line="360" w:lineRule="auto"/>
        <w:ind w:firstLine="480" w:firstLineChars="200"/>
        <w:rPr>
          <w:rFonts w:ascii="宋体" w:hAnsi="宋体"/>
          <w:sz w:val="24"/>
        </w:rPr>
      </w:pPr>
      <w:r>
        <w:rPr>
          <w:rFonts w:hint="eastAsia" w:ascii="宋体" w:hAnsi="宋体"/>
          <w:sz w:val="24"/>
        </w:rPr>
        <w:t>2、运维服务服务费用结算</w:t>
      </w:r>
    </w:p>
    <w:p>
      <w:pPr>
        <w:spacing w:line="360" w:lineRule="auto"/>
        <w:ind w:firstLine="480" w:firstLineChars="200"/>
        <w:rPr>
          <w:rFonts w:ascii="宋体" w:hAnsi="宋体"/>
          <w:sz w:val="24"/>
        </w:rPr>
      </w:pPr>
      <w:r>
        <w:rPr>
          <w:rFonts w:hint="eastAsia" w:ascii="宋体" w:hAnsi="宋体"/>
          <w:sz w:val="24"/>
        </w:rPr>
        <w:t>校方根据投标人的总价除以十二个月，得出每个月的运费服务费用，依据《网络运维服务费用结算及考核办法》(详见附件)进行每学期的运维服务费用结算。</w:t>
      </w:r>
    </w:p>
    <w:p>
      <w:pPr>
        <w:spacing w:line="360" w:lineRule="auto"/>
        <w:ind w:firstLine="480" w:firstLineChars="200"/>
        <w:rPr>
          <w:rFonts w:ascii="宋体" w:hAnsi="宋体"/>
          <w:sz w:val="24"/>
        </w:rPr>
      </w:pPr>
      <w:r>
        <w:rPr>
          <w:rFonts w:hint="eastAsia" w:ascii="宋体" w:hAnsi="宋体"/>
          <w:sz w:val="24"/>
        </w:rPr>
        <w:t>3、运维服务期限</w:t>
      </w:r>
    </w:p>
    <w:p>
      <w:pPr>
        <w:spacing w:line="360" w:lineRule="auto"/>
        <w:ind w:firstLine="480" w:firstLineChars="200"/>
        <w:rPr>
          <w:rFonts w:ascii="宋体" w:hAnsi="宋体"/>
          <w:sz w:val="24"/>
        </w:rPr>
      </w:pPr>
      <w:r>
        <w:rPr>
          <w:rFonts w:hint="eastAsia" w:ascii="宋体" w:hAnsi="宋体"/>
          <w:sz w:val="24"/>
        </w:rPr>
        <w:t>运维服务期限为1年。以合同签订日起一年期为运维服务周期。期满后双方若无异议可以续签一年。</w:t>
      </w:r>
    </w:p>
    <w:p>
      <w:pPr>
        <w:spacing w:line="360" w:lineRule="auto"/>
        <w:ind w:firstLine="480" w:firstLineChars="200"/>
        <w:rPr>
          <w:rFonts w:ascii="宋体" w:hAnsi="宋体"/>
          <w:sz w:val="24"/>
        </w:rPr>
      </w:pPr>
      <w:r>
        <w:rPr>
          <w:rFonts w:hint="eastAsia" w:ascii="宋体" w:hAnsi="宋体"/>
          <w:sz w:val="24"/>
        </w:rPr>
        <w:t>4、违约处理</w:t>
      </w:r>
    </w:p>
    <w:p>
      <w:pPr>
        <w:spacing w:line="360" w:lineRule="auto"/>
        <w:ind w:firstLine="480" w:firstLineChars="200"/>
        <w:rPr>
          <w:rFonts w:ascii="宋体" w:hAnsi="宋体"/>
          <w:sz w:val="24"/>
        </w:rPr>
      </w:pPr>
      <w:r>
        <w:rPr>
          <w:rFonts w:hint="eastAsia" w:ascii="宋体" w:hAnsi="宋体"/>
          <w:sz w:val="24"/>
        </w:rPr>
        <w:t>承包以一年为承包周期，校方和运营商对运维商进行不定期考察，发现问题及时通过沟通协调，自三方订立合同后一年内，三方不得单方面中止合同；确属因故需要更改或中断合同时，需三方提前协商同意，否则违约方必须无条件支付承包金额的50%作为违约金。</w:t>
      </w:r>
    </w:p>
    <w:p>
      <w:pPr>
        <w:pStyle w:val="3"/>
        <w:numPr>
          <w:ilvl w:val="1"/>
          <w:numId w:val="2"/>
        </w:numPr>
        <w:tabs>
          <w:tab w:val="left" w:pos="720"/>
          <w:tab w:val="clear" w:pos="360"/>
        </w:tabs>
        <w:adjustRightInd w:val="0"/>
        <w:snapToGrid w:val="0"/>
        <w:spacing w:before="312" w:beforeLines="100" w:after="312" w:afterLines="100" w:line="240" w:lineRule="auto"/>
        <w:ind w:left="0" w:firstLine="0"/>
        <w:jc w:val="left"/>
        <w:textAlignment w:val="center"/>
        <w:rPr>
          <w:rFonts w:ascii="宋体" w:hAnsi="宋体" w:eastAsia="宋体"/>
          <w:bCs w:val="0"/>
          <w:szCs w:val="20"/>
        </w:rPr>
      </w:pPr>
      <w:r>
        <w:rPr>
          <w:rFonts w:hint="eastAsia" w:ascii="宋体" w:hAnsi="宋体" w:eastAsia="宋体"/>
          <w:bCs w:val="0"/>
          <w:szCs w:val="20"/>
        </w:rPr>
        <w:t>网络运维服务费用结算及考核办法</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1.4.1运维服务考核说明</w:t>
      </w:r>
    </w:p>
    <w:p>
      <w:pPr>
        <w:spacing w:line="360" w:lineRule="auto"/>
        <w:ind w:firstLine="480" w:firstLineChars="200"/>
        <w:rPr>
          <w:rFonts w:ascii="宋体" w:hAnsi="宋体"/>
          <w:sz w:val="24"/>
        </w:rPr>
      </w:pPr>
      <w:r>
        <w:rPr>
          <w:rFonts w:hint="eastAsia" w:ascii="宋体" w:hAnsi="宋体"/>
          <w:sz w:val="24"/>
        </w:rPr>
        <w:t>运维商必须保证服务效率和服务质量，各种矛盾力争在运维商服务部门框架下处理消化。所有用户报修必须先通过运维商报修，校方不受理任何用户报修，只接受因运维商没有及时解决的投诉。运维商处理完成用户的报修后，需告知用户填写服务报修单。每月接到的有效投诉不得超过</w:t>
      </w:r>
      <w:r>
        <w:rPr>
          <w:rFonts w:ascii="宋体" w:hAnsi="宋体"/>
          <w:sz w:val="24"/>
        </w:rPr>
        <w:t>5</w:t>
      </w:r>
      <w:r>
        <w:rPr>
          <w:rFonts w:hint="eastAsia" w:ascii="宋体" w:hAnsi="宋体"/>
          <w:sz w:val="24"/>
        </w:rPr>
        <w:t>人次，超过</w:t>
      </w:r>
      <w:r>
        <w:rPr>
          <w:rFonts w:ascii="宋体" w:hAnsi="宋体"/>
          <w:sz w:val="24"/>
        </w:rPr>
        <w:t>10</w:t>
      </w:r>
      <w:r>
        <w:rPr>
          <w:rFonts w:hint="eastAsia" w:ascii="宋体" w:hAnsi="宋体"/>
          <w:sz w:val="24"/>
        </w:rPr>
        <w:t>人次将视为服务不能响应，校方可随时单方中断合同的执行，违约责任由运维商承担。</w:t>
      </w:r>
    </w:p>
    <w:p>
      <w:pPr>
        <w:spacing w:line="360" w:lineRule="auto"/>
        <w:ind w:firstLine="480" w:firstLineChars="200"/>
        <w:rPr>
          <w:rFonts w:ascii="宋体" w:hAnsi="宋体"/>
          <w:sz w:val="24"/>
        </w:rPr>
      </w:pPr>
      <w:r>
        <w:rPr>
          <w:rFonts w:hint="eastAsia" w:ascii="宋体" w:hAnsi="宋体"/>
          <w:sz w:val="24"/>
        </w:rPr>
        <w:t>为规范第三方运维商的运维服务标准，确保运维服务的质量水平，结合运维服务管理系统，针对第三方运维商从以下四个方面进行绩效考核：</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每个月故障事件的解决完成情况。</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每个月故障事件处理的及时性。</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每个月故障事件的满意度。</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每月网络中心统计的投诉的次数。投诉除学生直接投诉外，还包括以下情况：</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rPr>
        <w:tab/>
      </w:r>
      <w:r>
        <w:rPr>
          <w:rFonts w:hint="eastAsia" w:ascii="宋体" w:hAnsi="宋体"/>
          <w:sz w:val="24"/>
        </w:rPr>
        <w:t>利用维修宽带对用户提出额外要求的，除应归还不正当所得外，每例按照2次投诉计算。</w:t>
      </w:r>
    </w:p>
    <w:p>
      <w:pPr>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rPr>
        <w:tab/>
      </w:r>
      <w:r>
        <w:rPr>
          <w:rFonts w:hint="eastAsia" w:ascii="宋体" w:hAnsi="宋体"/>
          <w:sz w:val="24"/>
        </w:rPr>
        <w:t>未响应用户提出的合理要求，每次计算投诉0.5次。</w:t>
      </w:r>
    </w:p>
    <w:p>
      <w:pPr>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rPr>
        <w:tab/>
      </w:r>
      <w:r>
        <w:rPr>
          <w:rFonts w:hint="eastAsia" w:ascii="宋体" w:hAnsi="宋体"/>
          <w:sz w:val="24"/>
        </w:rPr>
        <w:t>擅自代用户签名、打分弄虚作假者，每次计算投诉1次。</w:t>
      </w:r>
    </w:p>
    <w:p>
      <w:pPr>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rPr>
        <w:tab/>
      </w:r>
      <w:r>
        <w:rPr>
          <w:rFonts w:hint="eastAsia" w:ascii="宋体" w:hAnsi="宋体"/>
          <w:sz w:val="24"/>
        </w:rPr>
        <w:t>移、修中损坏用户物品，引起投诉，除按价赔偿外，如发生投诉的每次计算投诉0.5次。</w:t>
      </w:r>
    </w:p>
    <w:p>
      <w:pPr>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rPr>
        <w:tab/>
      </w:r>
      <w:r>
        <w:rPr>
          <w:rFonts w:hint="eastAsia" w:ascii="宋体" w:hAnsi="宋体"/>
          <w:sz w:val="24"/>
        </w:rPr>
        <w:t>擅自使用用户电话，引起投诉，每次计算投诉0.5次。</w:t>
      </w:r>
    </w:p>
    <w:p>
      <w:pPr>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rPr>
        <w:tab/>
      </w:r>
      <w:r>
        <w:rPr>
          <w:rFonts w:hint="eastAsia" w:ascii="宋体" w:hAnsi="宋体"/>
          <w:sz w:val="24"/>
        </w:rPr>
        <w:t>发生盗用用户账号、密码情况，每次计算投诉2次；如利用用户账号、密码进行商业行为的，将根据相关法律法规进行处理。</w:t>
      </w:r>
    </w:p>
    <w:p>
      <w:pPr>
        <w:spacing w:line="360" w:lineRule="auto"/>
        <w:ind w:firstLine="480" w:firstLineChars="200"/>
        <w:rPr>
          <w:rFonts w:ascii="宋体" w:hAnsi="宋体"/>
          <w:sz w:val="24"/>
        </w:rPr>
      </w:pPr>
      <w:r>
        <w:rPr>
          <w:rFonts w:hint="eastAsia" w:ascii="宋体" w:hAnsi="宋体"/>
          <w:sz w:val="24"/>
        </w:rPr>
        <w:t>(7)</w:t>
      </w:r>
      <w:r>
        <w:rPr>
          <w:rFonts w:hint="eastAsia" w:ascii="宋体" w:hAnsi="宋体"/>
          <w:sz w:val="24"/>
        </w:rPr>
        <w:tab/>
      </w:r>
      <w:r>
        <w:rPr>
          <w:rFonts w:hint="eastAsia" w:ascii="宋体" w:hAnsi="宋体"/>
          <w:sz w:val="24"/>
        </w:rPr>
        <w:t>在工作期间，发现校园网室内、外网络设备损坏，未按照相关要求及时上报以及采取必要措施的，每发现一例，每次计算投诉1次。</w:t>
      </w:r>
    </w:p>
    <w:p>
      <w:pPr>
        <w:spacing w:line="360" w:lineRule="auto"/>
        <w:ind w:firstLine="480" w:firstLineChars="200"/>
        <w:rPr>
          <w:rFonts w:ascii="宋体" w:hAnsi="宋体"/>
          <w:sz w:val="24"/>
        </w:rPr>
      </w:pPr>
      <w:r>
        <w:rPr>
          <w:rFonts w:hint="eastAsia" w:ascii="宋体" w:hAnsi="宋体"/>
          <w:sz w:val="24"/>
        </w:rPr>
        <w:t>(8)</w:t>
      </w:r>
      <w:r>
        <w:rPr>
          <w:rFonts w:hint="eastAsia" w:ascii="宋体" w:hAnsi="宋体"/>
          <w:sz w:val="24"/>
        </w:rPr>
        <w:tab/>
      </w:r>
      <w:r>
        <w:rPr>
          <w:rFonts w:hint="eastAsia" w:ascii="宋体" w:hAnsi="宋体"/>
          <w:sz w:val="24"/>
        </w:rPr>
        <w:t>不服从校园网管理指挥调度处理用户反映的网络故障的，核实后每次计算投诉2次。</w:t>
      </w:r>
    </w:p>
    <w:p>
      <w:pPr>
        <w:spacing w:line="360" w:lineRule="auto"/>
        <w:ind w:firstLine="480" w:firstLineChars="200"/>
        <w:rPr>
          <w:rFonts w:ascii="宋体" w:hAnsi="宋体"/>
          <w:sz w:val="24"/>
        </w:rPr>
      </w:pPr>
      <w:r>
        <w:rPr>
          <w:rFonts w:hint="eastAsia" w:ascii="宋体" w:hAnsi="宋体"/>
          <w:sz w:val="24"/>
        </w:rPr>
        <w:t>(9)</w:t>
      </w:r>
      <w:r>
        <w:rPr>
          <w:rFonts w:hint="eastAsia" w:ascii="宋体" w:hAnsi="宋体"/>
          <w:sz w:val="24"/>
        </w:rPr>
        <w:tab/>
      </w:r>
      <w:r>
        <w:rPr>
          <w:rFonts w:hint="eastAsia" w:ascii="宋体" w:hAnsi="宋体"/>
          <w:sz w:val="24"/>
        </w:rPr>
        <w:t>运维人员在维护过程中发生未经网络中心同意擅自调换使用维护材料，每次计算投诉2次。</w:t>
      </w:r>
    </w:p>
    <w:p>
      <w:pPr>
        <w:spacing w:line="360" w:lineRule="auto"/>
        <w:ind w:firstLine="480" w:firstLineChars="200"/>
        <w:rPr>
          <w:rFonts w:ascii="宋体" w:hAnsi="宋体"/>
          <w:sz w:val="24"/>
        </w:rPr>
      </w:pPr>
      <w:r>
        <w:rPr>
          <w:rFonts w:hint="eastAsia" w:ascii="宋体" w:hAnsi="宋体"/>
          <w:sz w:val="24"/>
        </w:rPr>
        <w:t>(10)</w:t>
      </w:r>
      <w:r>
        <w:rPr>
          <w:rFonts w:hint="eastAsia" w:ascii="宋体" w:hAnsi="宋体"/>
          <w:sz w:val="24"/>
        </w:rPr>
        <w:tab/>
      </w:r>
      <w:r>
        <w:rPr>
          <w:rFonts w:hint="eastAsia" w:ascii="宋体" w:hAnsi="宋体"/>
          <w:sz w:val="24"/>
        </w:rPr>
        <w:t>人为损坏设备或违反操作规程造成设备损坏的由运维商按价赔偿并修复，否则按照每次计算投诉1次。</w:t>
      </w:r>
    </w:p>
    <w:p>
      <w:pPr>
        <w:spacing w:line="360" w:lineRule="auto"/>
        <w:ind w:firstLine="480" w:firstLineChars="200"/>
        <w:rPr>
          <w:rFonts w:ascii="宋体" w:hAnsi="宋体"/>
          <w:sz w:val="24"/>
        </w:rPr>
      </w:pPr>
      <w:r>
        <w:rPr>
          <w:rFonts w:hint="eastAsia" w:ascii="宋体" w:hAnsi="宋体"/>
          <w:sz w:val="24"/>
        </w:rPr>
        <w:t>(11)</w:t>
      </w:r>
      <w:r>
        <w:rPr>
          <w:rFonts w:hint="eastAsia" w:ascii="宋体" w:hAnsi="宋体"/>
          <w:sz w:val="24"/>
        </w:rPr>
        <w:tab/>
      </w:r>
      <w:r>
        <w:rPr>
          <w:rFonts w:hint="eastAsia" w:ascii="宋体" w:hAnsi="宋体"/>
          <w:sz w:val="24"/>
        </w:rPr>
        <w:t>服务电话必须保持24小时通信畅通，对值班时间内久呼不应，每次计算投诉1次。</w:t>
      </w:r>
    </w:p>
    <w:p>
      <w:pPr>
        <w:spacing w:line="360" w:lineRule="auto"/>
        <w:ind w:firstLine="480" w:firstLineChars="200"/>
        <w:rPr>
          <w:rFonts w:ascii="宋体" w:hAnsi="宋体"/>
          <w:sz w:val="24"/>
        </w:rPr>
      </w:pPr>
      <w:r>
        <w:rPr>
          <w:rFonts w:hint="eastAsia" w:ascii="宋体" w:hAnsi="宋体"/>
          <w:sz w:val="24"/>
        </w:rPr>
        <w:t>(12)</w:t>
      </w:r>
      <w:r>
        <w:rPr>
          <w:rFonts w:hint="eastAsia" w:ascii="宋体" w:hAnsi="宋体"/>
          <w:sz w:val="24"/>
        </w:rPr>
        <w:tab/>
      </w:r>
      <w:r>
        <w:rPr>
          <w:rFonts w:hint="eastAsia" w:ascii="宋体" w:hAnsi="宋体"/>
          <w:sz w:val="24"/>
        </w:rPr>
        <w:t>如网络中心人员因用户投诉通知运维商，运维商没有在规定时间内解决的，投诉1次计0.5次，用户向网络信息中心负责人投诉，投诉1次计1次。</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1.4.2运维服务考核指标</w:t>
      </w:r>
    </w:p>
    <w:p>
      <w:pPr>
        <w:spacing w:line="360" w:lineRule="auto"/>
        <w:ind w:firstLine="480" w:firstLineChars="200"/>
        <w:rPr>
          <w:rFonts w:ascii="宋体" w:hAnsi="宋体"/>
          <w:sz w:val="24"/>
        </w:rPr>
      </w:pPr>
      <w:r>
        <w:rPr>
          <w:rFonts w:hint="eastAsia" w:ascii="宋体" w:hAnsi="宋体"/>
          <w:sz w:val="24"/>
        </w:rPr>
        <w:t>运维服务过程中，校方申报的所有故障事件均录入到运维服务管理系统中，通过系统跟踪故障事件的处理进展，对故障事件的处理完成情况进行统计分析，形成以下考核指标：</w:t>
      </w:r>
    </w:p>
    <w:tbl>
      <w:tblPr>
        <w:tblStyle w:val="31"/>
        <w:tblW w:w="95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6"/>
        <w:gridCol w:w="1669"/>
        <w:gridCol w:w="1134"/>
        <w:gridCol w:w="2126"/>
        <w:gridCol w:w="2126"/>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2" w:hRule="atLeast"/>
          <w:jc w:val="center"/>
        </w:trPr>
        <w:tc>
          <w:tcPr>
            <w:tcW w:w="666" w:type="dxa"/>
            <w:tcMar>
              <w:top w:w="15" w:type="dxa"/>
              <w:left w:w="108" w:type="dxa"/>
              <w:bottom w:w="0" w:type="dxa"/>
              <w:right w:w="108" w:type="dxa"/>
            </w:tcMar>
            <w:vAlign w:val="center"/>
          </w:tcPr>
          <w:p>
            <w:pPr>
              <w:jc w:val="center"/>
              <w:rPr>
                <w:rFonts w:ascii="宋体" w:hAnsi="宋体"/>
                <w:szCs w:val="21"/>
              </w:rPr>
            </w:pPr>
            <w:r>
              <w:rPr>
                <w:rFonts w:hint="eastAsia" w:ascii="宋体" w:hAnsi="宋体"/>
                <w:bCs/>
                <w:szCs w:val="21"/>
              </w:rPr>
              <w:t>序号</w:t>
            </w:r>
          </w:p>
        </w:tc>
        <w:tc>
          <w:tcPr>
            <w:tcW w:w="1669" w:type="dxa"/>
            <w:tcMar>
              <w:top w:w="15" w:type="dxa"/>
              <w:left w:w="108" w:type="dxa"/>
              <w:bottom w:w="0" w:type="dxa"/>
              <w:right w:w="108" w:type="dxa"/>
            </w:tcMar>
            <w:vAlign w:val="center"/>
          </w:tcPr>
          <w:p>
            <w:pPr>
              <w:ind w:firstLine="174" w:firstLineChars="83"/>
              <w:jc w:val="center"/>
              <w:rPr>
                <w:rFonts w:ascii="宋体" w:hAnsi="宋体"/>
                <w:szCs w:val="21"/>
              </w:rPr>
            </w:pPr>
            <w:r>
              <w:rPr>
                <w:rFonts w:hint="eastAsia" w:ascii="宋体" w:hAnsi="宋体"/>
                <w:bCs/>
                <w:szCs w:val="21"/>
              </w:rPr>
              <w:t>考核指标</w:t>
            </w:r>
          </w:p>
        </w:tc>
        <w:tc>
          <w:tcPr>
            <w:tcW w:w="1134" w:type="dxa"/>
            <w:tcMar>
              <w:top w:w="15" w:type="dxa"/>
              <w:left w:w="108" w:type="dxa"/>
              <w:bottom w:w="0" w:type="dxa"/>
              <w:right w:w="108" w:type="dxa"/>
            </w:tcMar>
            <w:vAlign w:val="center"/>
          </w:tcPr>
          <w:p>
            <w:pPr>
              <w:jc w:val="center"/>
              <w:rPr>
                <w:rFonts w:ascii="宋体" w:hAnsi="宋体"/>
                <w:szCs w:val="21"/>
              </w:rPr>
            </w:pPr>
            <w:r>
              <w:rPr>
                <w:rFonts w:hint="eastAsia" w:ascii="宋体" w:hAnsi="宋体"/>
                <w:bCs/>
                <w:szCs w:val="21"/>
              </w:rPr>
              <w:t>统计周期</w:t>
            </w:r>
          </w:p>
        </w:tc>
        <w:tc>
          <w:tcPr>
            <w:tcW w:w="2126" w:type="dxa"/>
            <w:tcMar>
              <w:top w:w="15" w:type="dxa"/>
              <w:left w:w="108" w:type="dxa"/>
              <w:bottom w:w="0" w:type="dxa"/>
              <w:right w:w="108" w:type="dxa"/>
            </w:tcMar>
            <w:vAlign w:val="center"/>
          </w:tcPr>
          <w:p>
            <w:pPr>
              <w:ind w:firstLine="174" w:firstLineChars="83"/>
              <w:jc w:val="center"/>
              <w:rPr>
                <w:rFonts w:ascii="宋体" w:hAnsi="宋体"/>
                <w:szCs w:val="21"/>
              </w:rPr>
            </w:pPr>
            <w:r>
              <w:rPr>
                <w:rFonts w:hint="eastAsia" w:ascii="宋体" w:hAnsi="宋体"/>
                <w:bCs/>
                <w:szCs w:val="21"/>
              </w:rPr>
              <w:t>统计方法</w:t>
            </w:r>
          </w:p>
        </w:tc>
        <w:tc>
          <w:tcPr>
            <w:tcW w:w="2126" w:type="dxa"/>
          </w:tcPr>
          <w:p>
            <w:pPr>
              <w:ind w:firstLine="174" w:firstLineChars="83"/>
              <w:jc w:val="center"/>
              <w:rPr>
                <w:rFonts w:ascii="宋体" w:hAnsi="宋体"/>
                <w:bCs/>
                <w:szCs w:val="21"/>
              </w:rPr>
            </w:pPr>
            <w:r>
              <w:rPr>
                <w:rFonts w:hint="eastAsia" w:ascii="宋体" w:hAnsi="宋体"/>
                <w:bCs/>
                <w:szCs w:val="21"/>
              </w:rPr>
              <w:t>说明</w:t>
            </w:r>
          </w:p>
        </w:tc>
        <w:tc>
          <w:tcPr>
            <w:tcW w:w="1803" w:type="dxa"/>
          </w:tcPr>
          <w:p>
            <w:pPr>
              <w:ind w:firstLine="174" w:firstLineChars="83"/>
              <w:jc w:val="center"/>
              <w:rPr>
                <w:rFonts w:ascii="宋体" w:hAnsi="宋体"/>
                <w:bCs/>
                <w:szCs w:val="21"/>
              </w:rPr>
            </w:pPr>
            <w:r>
              <w:rPr>
                <w:rFonts w:hint="eastAsia" w:ascii="宋体" w:hAnsi="宋体"/>
                <w:bCs/>
                <w:szCs w:val="21"/>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66"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1</w:t>
            </w:r>
          </w:p>
        </w:tc>
        <w:tc>
          <w:tcPr>
            <w:tcW w:w="1669"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事件解决率</w:t>
            </w:r>
          </w:p>
        </w:tc>
        <w:tc>
          <w:tcPr>
            <w:tcW w:w="1134" w:type="dxa"/>
            <w:tcMar>
              <w:top w:w="15" w:type="dxa"/>
              <w:left w:w="108" w:type="dxa"/>
              <w:bottom w:w="0" w:type="dxa"/>
              <w:right w:w="108" w:type="dxa"/>
            </w:tcMar>
            <w:vAlign w:val="center"/>
          </w:tcPr>
          <w:p>
            <w:pPr>
              <w:ind w:firstLine="174" w:firstLineChars="83"/>
              <w:rPr>
                <w:rFonts w:ascii="宋体" w:hAnsi="宋体"/>
                <w:szCs w:val="21"/>
              </w:rPr>
            </w:pPr>
            <w:r>
              <w:rPr>
                <w:rFonts w:hint="eastAsia" w:ascii="宋体" w:hAnsi="宋体"/>
                <w:szCs w:val="21"/>
              </w:rPr>
              <w:t>每月</w:t>
            </w:r>
          </w:p>
        </w:tc>
        <w:tc>
          <w:tcPr>
            <w:tcW w:w="2126"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（事件解决数量</w:t>
            </w:r>
            <w:r>
              <w:rPr>
                <w:rFonts w:ascii="宋体" w:hAnsi="宋体"/>
                <w:szCs w:val="21"/>
              </w:rPr>
              <w:t>/</w:t>
            </w:r>
            <w:r>
              <w:rPr>
                <w:rFonts w:hint="eastAsia" w:ascii="宋体" w:hAnsi="宋体"/>
                <w:szCs w:val="21"/>
              </w:rPr>
              <w:t>事件总数）</w:t>
            </w:r>
            <w:r>
              <w:rPr>
                <w:rFonts w:ascii="宋体" w:hAnsi="宋体"/>
                <w:szCs w:val="21"/>
              </w:rPr>
              <w:t>*100%</w:t>
            </w:r>
          </w:p>
        </w:tc>
        <w:tc>
          <w:tcPr>
            <w:tcW w:w="2126" w:type="dxa"/>
          </w:tcPr>
          <w:p>
            <w:pPr>
              <w:jc w:val="left"/>
              <w:rPr>
                <w:rFonts w:ascii="宋体" w:hAnsi="宋体"/>
                <w:szCs w:val="21"/>
              </w:rPr>
            </w:pPr>
            <w:r>
              <w:rPr>
                <w:rFonts w:hint="eastAsia" w:ascii="宋体" w:hAnsi="宋体"/>
                <w:szCs w:val="21"/>
              </w:rPr>
              <w:t>运维服务系统中已解决的事件</w:t>
            </w:r>
          </w:p>
        </w:tc>
        <w:tc>
          <w:tcPr>
            <w:tcW w:w="1803" w:type="dxa"/>
            <w:vAlign w:val="center"/>
          </w:tcPr>
          <w:p>
            <w:pPr>
              <w:jc w:val="center"/>
              <w:rPr>
                <w:rFonts w:ascii="宋体" w:hAnsi="宋体"/>
                <w:szCs w:val="21"/>
              </w:rPr>
            </w:pPr>
            <w:r>
              <w:rPr>
                <w:rFonts w:hint="eastAsia" w:ascii="宋体" w:hAnsi="宋体"/>
                <w:szCs w:val="21"/>
              </w:rPr>
              <w:t>运维服务管理系统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66"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2</w:t>
            </w:r>
          </w:p>
        </w:tc>
        <w:tc>
          <w:tcPr>
            <w:tcW w:w="1669"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事件及时率</w:t>
            </w:r>
          </w:p>
        </w:tc>
        <w:tc>
          <w:tcPr>
            <w:tcW w:w="1134" w:type="dxa"/>
            <w:tcMar>
              <w:top w:w="15" w:type="dxa"/>
              <w:left w:w="108" w:type="dxa"/>
              <w:bottom w:w="0" w:type="dxa"/>
              <w:right w:w="108" w:type="dxa"/>
            </w:tcMar>
            <w:vAlign w:val="center"/>
          </w:tcPr>
          <w:p>
            <w:pPr>
              <w:ind w:firstLine="174" w:firstLineChars="83"/>
              <w:rPr>
                <w:rFonts w:ascii="宋体" w:hAnsi="宋体"/>
                <w:szCs w:val="21"/>
              </w:rPr>
            </w:pPr>
            <w:r>
              <w:rPr>
                <w:rFonts w:hint="eastAsia" w:ascii="宋体" w:hAnsi="宋体"/>
                <w:szCs w:val="21"/>
              </w:rPr>
              <w:t>每月</w:t>
            </w:r>
          </w:p>
        </w:tc>
        <w:tc>
          <w:tcPr>
            <w:tcW w:w="2126" w:type="dxa"/>
            <w:tcMar>
              <w:top w:w="15" w:type="dxa"/>
              <w:left w:w="108" w:type="dxa"/>
              <w:bottom w:w="0" w:type="dxa"/>
              <w:right w:w="108" w:type="dxa"/>
            </w:tcMar>
            <w:vAlign w:val="center"/>
          </w:tcPr>
          <w:p>
            <w:pPr>
              <w:rPr>
                <w:rFonts w:ascii="宋体" w:hAnsi="宋体"/>
                <w:szCs w:val="21"/>
              </w:rPr>
            </w:pPr>
            <w:r>
              <w:rPr>
                <w:rFonts w:hint="eastAsia" w:ascii="宋体" w:hAnsi="宋体"/>
                <w:szCs w:val="21"/>
              </w:rPr>
              <w:t>（及时解决事件数</w:t>
            </w:r>
            <w:r>
              <w:rPr>
                <w:rFonts w:ascii="宋体" w:hAnsi="宋体"/>
                <w:szCs w:val="21"/>
              </w:rPr>
              <w:t>/</w:t>
            </w:r>
            <w:r>
              <w:rPr>
                <w:rFonts w:hint="eastAsia" w:ascii="宋体" w:hAnsi="宋体"/>
                <w:szCs w:val="21"/>
              </w:rPr>
              <w:t>事件总数）</w:t>
            </w:r>
            <w:r>
              <w:rPr>
                <w:rFonts w:ascii="宋体" w:hAnsi="宋体"/>
                <w:szCs w:val="21"/>
              </w:rPr>
              <w:t>*100%</w:t>
            </w:r>
          </w:p>
        </w:tc>
        <w:tc>
          <w:tcPr>
            <w:tcW w:w="2126" w:type="dxa"/>
          </w:tcPr>
          <w:p>
            <w:pPr>
              <w:jc w:val="left"/>
              <w:rPr>
                <w:rFonts w:ascii="宋体" w:hAnsi="宋体"/>
                <w:szCs w:val="21"/>
              </w:rPr>
            </w:pPr>
            <w:r>
              <w:rPr>
                <w:rFonts w:hint="eastAsia" w:ascii="宋体" w:hAnsi="宋体"/>
                <w:szCs w:val="21"/>
              </w:rPr>
              <w:t>在故障响应解决时间（SLA）内解决的事件</w:t>
            </w:r>
          </w:p>
        </w:tc>
        <w:tc>
          <w:tcPr>
            <w:tcW w:w="1803" w:type="dxa"/>
            <w:vAlign w:val="center"/>
          </w:tcPr>
          <w:p>
            <w:pPr>
              <w:jc w:val="center"/>
              <w:rPr>
                <w:rFonts w:ascii="宋体" w:hAnsi="宋体"/>
                <w:szCs w:val="21"/>
              </w:rPr>
            </w:pPr>
            <w:r>
              <w:rPr>
                <w:rFonts w:hint="eastAsia" w:ascii="宋体" w:hAnsi="宋体"/>
                <w:szCs w:val="21"/>
              </w:rPr>
              <w:t>运维服务管理系统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78" w:hRule="atLeast"/>
          <w:jc w:val="center"/>
        </w:trPr>
        <w:tc>
          <w:tcPr>
            <w:tcW w:w="666"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3</w:t>
            </w:r>
          </w:p>
        </w:tc>
        <w:tc>
          <w:tcPr>
            <w:tcW w:w="1669"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事件回访满意率</w:t>
            </w:r>
          </w:p>
        </w:tc>
        <w:tc>
          <w:tcPr>
            <w:tcW w:w="1134" w:type="dxa"/>
            <w:tcMar>
              <w:top w:w="15" w:type="dxa"/>
              <w:left w:w="108" w:type="dxa"/>
              <w:bottom w:w="0" w:type="dxa"/>
              <w:right w:w="108" w:type="dxa"/>
            </w:tcMar>
            <w:vAlign w:val="center"/>
          </w:tcPr>
          <w:p>
            <w:pPr>
              <w:ind w:firstLine="174" w:firstLineChars="83"/>
              <w:rPr>
                <w:rFonts w:ascii="宋体" w:hAnsi="宋体"/>
                <w:szCs w:val="21"/>
              </w:rPr>
            </w:pPr>
            <w:r>
              <w:rPr>
                <w:rFonts w:hint="eastAsia" w:ascii="宋体" w:hAnsi="宋体"/>
                <w:szCs w:val="21"/>
              </w:rPr>
              <w:t>每月</w:t>
            </w:r>
          </w:p>
        </w:tc>
        <w:tc>
          <w:tcPr>
            <w:tcW w:w="2126" w:type="dxa"/>
            <w:tcMar>
              <w:top w:w="15" w:type="dxa"/>
              <w:left w:w="108" w:type="dxa"/>
              <w:bottom w:w="0" w:type="dxa"/>
              <w:right w:w="108" w:type="dxa"/>
            </w:tcMar>
            <w:vAlign w:val="center"/>
          </w:tcPr>
          <w:p>
            <w:pPr>
              <w:rPr>
                <w:rFonts w:ascii="宋体" w:hAnsi="宋体"/>
                <w:szCs w:val="21"/>
              </w:rPr>
            </w:pPr>
            <w:r>
              <w:rPr>
                <w:rFonts w:hint="eastAsia" w:ascii="宋体" w:hAnsi="宋体"/>
                <w:szCs w:val="21"/>
              </w:rPr>
              <w:t>（回访结果为满意的事件总数</w:t>
            </w:r>
            <w:r>
              <w:rPr>
                <w:rFonts w:ascii="宋体" w:hAnsi="宋体"/>
                <w:szCs w:val="21"/>
              </w:rPr>
              <w:t xml:space="preserve">/ </w:t>
            </w:r>
            <w:r>
              <w:rPr>
                <w:rFonts w:hint="eastAsia" w:ascii="宋体" w:hAnsi="宋体"/>
                <w:szCs w:val="21"/>
              </w:rPr>
              <w:t>回访的事件总数）</w:t>
            </w:r>
            <w:r>
              <w:rPr>
                <w:rFonts w:ascii="宋体" w:hAnsi="宋体"/>
                <w:szCs w:val="21"/>
              </w:rPr>
              <w:t>*100%</w:t>
            </w:r>
          </w:p>
        </w:tc>
        <w:tc>
          <w:tcPr>
            <w:tcW w:w="2126" w:type="dxa"/>
          </w:tcPr>
          <w:p>
            <w:pPr>
              <w:jc w:val="left"/>
              <w:rPr>
                <w:rFonts w:ascii="宋体" w:hAnsi="宋体"/>
                <w:szCs w:val="21"/>
              </w:rPr>
            </w:pPr>
            <w:r>
              <w:rPr>
                <w:rFonts w:hint="eastAsia" w:ascii="宋体" w:hAnsi="宋体"/>
                <w:szCs w:val="21"/>
              </w:rPr>
              <w:t>针对已解决的事件进行回访，回访满意的事件</w:t>
            </w:r>
          </w:p>
        </w:tc>
        <w:tc>
          <w:tcPr>
            <w:tcW w:w="1803" w:type="dxa"/>
            <w:vAlign w:val="center"/>
          </w:tcPr>
          <w:p>
            <w:pPr>
              <w:jc w:val="center"/>
              <w:rPr>
                <w:rFonts w:ascii="宋体" w:hAnsi="宋体"/>
                <w:szCs w:val="21"/>
              </w:rPr>
            </w:pPr>
            <w:r>
              <w:rPr>
                <w:rFonts w:hint="eastAsia" w:ascii="宋体" w:hAnsi="宋体"/>
                <w:szCs w:val="21"/>
              </w:rPr>
              <w:t>运维服务管理系统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66"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4</w:t>
            </w:r>
          </w:p>
        </w:tc>
        <w:tc>
          <w:tcPr>
            <w:tcW w:w="1669" w:type="dxa"/>
            <w:tcMar>
              <w:top w:w="15" w:type="dxa"/>
              <w:left w:w="108" w:type="dxa"/>
              <w:bottom w:w="0" w:type="dxa"/>
              <w:right w:w="108" w:type="dxa"/>
            </w:tcMar>
            <w:vAlign w:val="center"/>
          </w:tcPr>
          <w:p>
            <w:pPr>
              <w:rPr>
                <w:rFonts w:ascii="宋体" w:hAnsi="宋体"/>
                <w:szCs w:val="21"/>
              </w:rPr>
            </w:pPr>
            <w:r>
              <w:rPr>
                <w:rFonts w:hint="eastAsia" w:ascii="宋体" w:hAnsi="宋体"/>
                <w:szCs w:val="21"/>
              </w:rPr>
              <w:t>投诉次数</w:t>
            </w:r>
          </w:p>
        </w:tc>
        <w:tc>
          <w:tcPr>
            <w:tcW w:w="1134" w:type="dxa"/>
            <w:tcMar>
              <w:top w:w="15" w:type="dxa"/>
              <w:left w:w="108" w:type="dxa"/>
              <w:bottom w:w="0" w:type="dxa"/>
              <w:right w:w="108" w:type="dxa"/>
            </w:tcMar>
            <w:vAlign w:val="center"/>
          </w:tcPr>
          <w:p>
            <w:pPr>
              <w:ind w:firstLine="174" w:firstLineChars="83"/>
              <w:rPr>
                <w:rFonts w:ascii="宋体" w:hAnsi="宋体"/>
                <w:szCs w:val="21"/>
              </w:rPr>
            </w:pPr>
            <w:r>
              <w:rPr>
                <w:rFonts w:hint="eastAsia" w:ascii="宋体" w:hAnsi="宋体"/>
                <w:szCs w:val="21"/>
              </w:rPr>
              <w:t>每月</w:t>
            </w:r>
          </w:p>
        </w:tc>
        <w:tc>
          <w:tcPr>
            <w:tcW w:w="2126" w:type="dxa"/>
            <w:tcMar>
              <w:top w:w="15" w:type="dxa"/>
              <w:left w:w="108" w:type="dxa"/>
              <w:bottom w:w="0" w:type="dxa"/>
              <w:right w:w="108" w:type="dxa"/>
            </w:tcMar>
            <w:vAlign w:val="center"/>
          </w:tcPr>
          <w:p>
            <w:pPr>
              <w:rPr>
                <w:rFonts w:ascii="宋体" w:hAnsi="宋体"/>
                <w:szCs w:val="21"/>
              </w:rPr>
            </w:pPr>
            <w:r>
              <w:rPr>
                <w:rFonts w:hint="eastAsia" w:ascii="宋体" w:hAnsi="宋体"/>
                <w:szCs w:val="21"/>
              </w:rPr>
              <w:t>网络中心投诉次数</w:t>
            </w:r>
          </w:p>
        </w:tc>
        <w:tc>
          <w:tcPr>
            <w:tcW w:w="2126" w:type="dxa"/>
          </w:tcPr>
          <w:p>
            <w:pPr>
              <w:ind w:firstLine="174" w:firstLineChars="83"/>
              <w:jc w:val="center"/>
              <w:rPr>
                <w:rFonts w:ascii="宋体" w:hAnsi="宋体"/>
                <w:szCs w:val="21"/>
              </w:rPr>
            </w:pPr>
          </w:p>
        </w:tc>
        <w:tc>
          <w:tcPr>
            <w:tcW w:w="1803" w:type="dxa"/>
            <w:vAlign w:val="center"/>
          </w:tcPr>
          <w:p>
            <w:pPr>
              <w:ind w:firstLine="174" w:firstLineChars="83"/>
              <w:jc w:val="center"/>
              <w:rPr>
                <w:rFonts w:ascii="宋体" w:hAnsi="宋体"/>
                <w:szCs w:val="21"/>
              </w:rPr>
            </w:pPr>
            <w:r>
              <w:rPr>
                <w:rFonts w:hint="eastAsia" w:ascii="宋体" w:hAnsi="宋体"/>
                <w:szCs w:val="21"/>
              </w:rPr>
              <w:t>投诉登记表</w:t>
            </w:r>
          </w:p>
        </w:tc>
      </w:tr>
    </w:tbl>
    <w:p>
      <w:pPr>
        <w:spacing w:line="360" w:lineRule="auto"/>
        <w:ind w:firstLine="480" w:firstLineChars="200"/>
        <w:rPr>
          <w:rFonts w:ascii="宋体" w:hAnsi="宋体"/>
          <w:sz w:val="24"/>
        </w:rPr>
      </w:pPr>
      <w:r>
        <w:rPr>
          <w:rFonts w:hint="eastAsia" w:ascii="宋体" w:hAnsi="宋体"/>
          <w:sz w:val="24"/>
        </w:rPr>
        <w:t>备注：故障解决时间（SLA）</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1.4.2考核方式</w:t>
      </w:r>
    </w:p>
    <w:p>
      <w:pPr>
        <w:spacing w:line="360" w:lineRule="auto"/>
        <w:ind w:firstLine="480" w:firstLineChars="200"/>
        <w:rPr>
          <w:rFonts w:ascii="宋体" w:hAnsi="宋体"/>
          <w:sz w:val="24"/>
        </w:rPr>
      </w:pPr>
      <w:r>
        <w:rPr>
          <w:rFonts w:hint="eastAsia" w:ascii="宋体" w:hAnsi="宋体"/>
          <w:sz w:val="24"/>
        </w:rPr>
        <w:t>1、以月为单位，甲方每月进行1次考核，乙方配合甲方提供相关的考核数据作为参考。</w:t>
      </w:r>
    </w:p>
    <w:p>
      <w:pPr>
        <w:spacing w:line="360" w:lineRule="auto"/>
        <w:ind w:firstLine="480" w:firstLineChars="200"/>
        <w:rPr>
          <w:rFonts w:ascii="宋体" w:hAnsi="宋体"/>
          <w:sz w:val="24"/>
        </w:rPr>
      </w:pPr>
      <w:r>
        <w:rPr>
          <w:rFonts w:hint="eastAsia" w:ascii="宋体" w:hAnsi="宋体"/>
          <w:sz w:val="24"/>
        </w:rPr>
        <w:t>2、运维团队内部绩效考核每月考核1次并将结果向校方备案。</w:t>
      </w:r>
    </w:p>
    <w:p>
      <w:pPr>
        <w:spacing w:line="360" w:lineRule="auto"/>
        <w:ind w:firstLine="480" w:firstLineChars="200"/>
        <w:rPr>
          <w:rFonts w:ascii="宋体" w:hAnsi="宋体"/>
          <w:sz w:val="24"/>
        </w:rPr>
      </w:pPr>
      <w:r>
        <w:rPr>
          <w:rFonts w:hint="eastAsia" w:ascii="宋体" w:hAnsi="宋体"/>
          <w:sz w:val="24"/>
        </w:rPr>
        <w:t>3、每月按照考核指标进行打分，同时考核结果作为续聘或竞聘的重要条件。</w:t>
      </w:r>
    </w:p>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1.4.3考核分值表</w:t>
      </w:r>
    </w:p>
    <w:p>
      <w:pPr>
        <w:spacing w:line="360" w:lineRule="auto"/>
        <w:ind w:firstLine="480" w:firstLineChars="200"/>
        <w:rPr>
          <w:rFonts w:ascii="宋体" w:hAnsi="宋体"/>
          <w:sz w:val="24"/>
        </w:rPr>
      </w:pPr>
      <w:r>
        <w:rPr>
          <w:rFonts w:hint="eastAsia" w:ascii="宋体" w:hAnsi="宋体"/>
          <w:sz w:val="24"/>
        </w:rPr>
        <w:t>1、考核分值总分为100分；甲乙双方分值权重各占50%。</w:t>
      </w:r>
    </w:p>
    <w:p>
      <w:pPr>
        <w:spacing w:line="360" w:lineRule="auto"/>
        <w:ind w:firstLine="480" w:firstLineChars="200"/>
        <w:rPr>
          <w:rFonts w:ascii="宋体" w:hAnsi="宋体"/>
          <w:sz w:val="24"/>
        </w:rPr>
      </w:pPr>
      <w:r>
        <w:rPr>
          <w:rFonts w:hint="eastAsia" w:ascii="宋体" w:hAnsi="宋体"/>
          <w:sz w:val="24"/>
        </w:rPr>
        <w:t>2、根据运维服务管理系统的统计数据核算出每个指标每个月的考核分值。</w:t>
      </w:r>
    </w:p>
    <w:p>
      <w:pPr>
        <w:spacing w:line="360" w:lineRule="auto"/>
        <w:ind w:firstLine="480" w:firstLineChars="200"/>
        <w:rPr>
          <w:rFonts w:ascii="宋体" w:hAnsi="宋体"/>
          <w:sz w:val="24"/>
        </w:rPr>
      </w:pPr>
      <w:r>
        <w:rPr>
          <w:rFonts w:hint="eastAsia" w:ascii="宋体" w:hAnsi="宋体"/>
          <w:sz w:val="24"/>
        </w:rPr>
        <w:t>3、将4个考核指标的考核分值进行累加，得出本月的考核分值。</w:t>
      </w:r>
    </w:p>
    <w:p>
      <w:pPr>
        <w:spacing w:line="360" w:lineRule="auto"/>
        <w:ind w:firstLine="480" w:firstLineChars="200"/>
        <w:rPr>
          <w:rFonts w:ascii="宋体" w:hAnsi="宋体"/>
          <w:sz w:val="24"/>
        </w:rPr>
      </w:pPr>
      <w:r>
        <w:rPr>
          <w:rFonts w:hint="eastAsia" w:ascii="宋体" w:hAnsi="宋体"/>
          <w:sz w:val="24"/>
        </w:rPr>
        <w:t>4、考核分值低于60分，丙方需出具运维服务分析报告说明。</w:t>
      </w:r>
    </w:p>
    <w:tbl>
      <w:tblPr>
        <w:tblStyle w:val="31"/>
        <w:tblW w:w="72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4"/>
        <w:gridCol w:w="2693"/>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jc w:val="center"/>
        </w:trPr>
        <w:tc>
          <w:tcPr>
            <w:tcW w:w="704" w:type="dxa"/>
            <w:tcMar>
              <w:top w:w="15" w:type="dxa"/>
              <w:left w:w="108" w:type="dxa"/>
              <w:bottom w:w="0" w:type="dxa"/>
              <w:right w:w="108" w:type="dxa"/>
            </w:tcMar>
            <w:vAlign w:val="center"/>
          </w:tcPr>
          <w:p>
            <w:pPr>
              <w:jc w:val="center"/>
              <w:rPr>
                <w:rFonts w:ascii="宋体" w:hAnsi="宋体"/>
                <w:szCs w:val="21"/>
              </w:rPr>
            </w:pPr>
            <w:r>
              <w:rPr>
                <w:rFonts w:hint="eastAsia" w:ascii="宋体" w:hAnsi="宋体"/>
                <w:bCs/>
                <w:szCs w:val="21"/>
              </w:rPr>
              <w:t>序号</w:t>
            </w:r>
          </w:p>
        </w:tc>
        <w:tc>
          <w:tcPr>
            <w:tcW w:w="2693" w:type="dxa"/>
            <w:tcMar>
              <w:top w:w="15" w:type="dxa"/>
              <w:left w:w="108" w:type="dxa"/>
              <w:bottom w:w="0" w:type="dxa"/>
              <w:right w:w="108" w:type="dxa"/>
            </w:tcMar>
            <w:vAlign w:val="center"/>
          </w:tcPr>
          <w:p>
            <w:pPr>
              <w:ind w:firstLine="174" w:firstLineChars="83"/>
              <w:jc w:val="center"/>
              <w:rPr>
                <w:rFonts w:ascii="宋体" w:hAnsi="宋体"/>
                <w:szCs w:val="21"/>
              </w:rPr>
            </w:pPr>
            <w:r>
              <w:rPr>
                <w:rFonts w:hint="eastAsia" w:ascii="宋体" w:hAnsi="宋体"/>
                <w:bCs/>
                <w:szCs w:val="21"/>
              </w:rPr>
              <w:t>考核指标</w:t>
            </w:r>
          </w:p>
        </w:tc>
        <w:tc>
          <w:tcPr>
            <w:tcW w:w="3828" w:type="dxa"/>
            <w:vAlign w:val="center"/>
          </w:tcPr>
          <w:p>
            <w:pPr>
              <w:jc w:val="center"/>
              <w:rPr>
                <w:rFonts w:ascii="宋体" w:hAnsi="宋体"/>
                <w:szCs w:val="21"/>
              </w:rPr>
            </w:pPr>
            <w:r>
              <w:rPr>
                <w:rFonts w:hint="eastAsia" w:ascii="宋体" w:hAnsi="宋体"/>
                <w:bCs/>
                <w:szCs w:val="21"/>
              </w:rPr>
              <w:t>考核分数统计方式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704"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1</w:t>
            </w:r>
          </w:p>
        </w:tc>
        <w:tc>
          <w:tcPr>
            <w:tcW w:w="2693"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事件解决率</w:t>
            </w:r>
          </w:p>
        </w:tc>
        <w:tc>
          <w:tcPr>
            <w:tcW w:w="3828" w:type="dxa"/>
            <w:vAlign w:val="center"/>
          </w:tcPr>
          <w:p>
            <w:pPr>
              <w:ind w:firstLine="174" w:firstLineChars="83"/>
              <w:rPr>
                <w:rFonts w:ascii="宋体" w:hAnsi="宋体"/>
                <w:szCs w:val="21"/>
              </w:rPr>
            </w:pPr>
            <w:r>
              <w:rPr>
                <w:rFonts w:hint="eastAsia" w:ascii="宋体" w:hAnsi="宋体"/>
                <w:szCs w:val="21"/>
              </w:rPr>
              <w:t>95%-</w:t>
            </w:r>
            <w:r>
              <w:rPr>
                <w:rFonts w:ascii="宋体" w:hAnsi="宋体"/>
                <w:szCs w:val="21"/>
              </w:rPr>
              <w:t>100</w:t>
            </w:r>
            <w:r>
              <w:rPr>
                <w:rFonts w:hint="eastAsia" w:ascii="宋体" w:hAnsi="宋体"/>
                <w:szCs w:val="21"/>
              </w:rPr>
              <w:t>%</w:t>
            </w:r>
            <w:r>
              <w:rPr>
                <w:rFonts w:ascii="宋体" w:hAnsi="宋体"/>
                <w:szCs w:val="21"/>
              </w:rPr>
              <w:t xml:space="preserve">  35分</w:t>
            </w:r>
          </w:p>
          <w:p>
            <w:pPr>
              <w:ind w:firstLine="174" w:firstLineChars="83"/>
              <w:rPr>
                <w:rFonts w:ascii="宋体" w:hAnsi="宋体"/>
                <w:szCs w:val="21"/>
              </w:rPr>
            </w:pPr>
            <w:r>
              <w:rPr>
                <w:rFonts w:hint="eastAsia" w:ascii="宋体" w:hAnsi="宋体"/>
                <w:szCs w:val="21"/>
              </w:rPr>
              <w:t>95%以下  事件解决率*</w:t>
            </w:r>
            <w:r>
              <w:rPr>
                <w:rFonts w:ascii="宋体" w:hAnsi="宋体"/>
                <w:szCs w:val="21"/>
              </w:rPr>
              <w:t>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704"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2</w:t>
            </w:r>
          </w:p>
        </w:tc>
        <w:tc>
          <w:tcPr>
            <w:tcW w:w="2693"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事件及时率</w:t>
            </w:r>
          </w:p>
        </w:tc>
        <w:tc>
          <w:tcPr>
            <w:tcW w:w="3828" w:type="dxa"/>
            <w:vAlign w:val="center"/>
          </w:tcPr>
          <w:p>
            <w:pPr>
              <w:ind w:firstLine="174" w:firstLineChars="83"/>
              <w:rPr>
                <w:rFonts w:ascii="宋体" w:hAnsi="宋体"/>
                <w:szCs w:val="21"/>
              </w:rPr>
            </w:pPr>
            <w:r>
              <w:rPr>
                <w:rFonts w:hint="eastAsia" w:ascii="宋体" w:hAnsi="宋体"/>
                <w:szCs w:val="21"/>
              </w:rPr>
              <w:t>90%-</w:t>
            </w:r>
            <w:r>
              <w:rPr>
                <w:rFonts w:ascii="宋体" w:hAnsi="宋体"/>
                <w:szCs w:val="21"/>
              </w:rPr>
              <w:t>100</w:t>
            </w:r>
            <w:r>
              <w:rPr>
                <w:rFonts w:hint="eastAsia" w:ascii="宋体" w:hAnsi="宋体"/>
                <w:szCs w:val="21"/>
              </w:rPr>
              <w:t>%</w:t>
            </w:r>
            <w:r>
              <w:rPr>
                <w:rFonts w:ascii="宋体" w:hAnsi="宋体"/>
                <w:szCs w:val="21"/>
              </w:rPr>
              <w:t xml:space="preserve">  35分</w:t>
            </w:r>
          </w:p>
          <w:p>
            <w:pPr>
              <w:ind w:firstLine="174" w:firstLineChars="83"/>
              <w:rPr>
                <w:rFonts w:ascii="宋体" w:hAnsi="宋体"/>
                <w:szCs w:val="21"/>
              </w:rPr>
            </w:pPr>
            <w:r>
              <w:rPr>
                <w:rFonts w:hint="eastAsia" w:ascii="宋体" w:hAnsi="宋体"/>
                <w:szCs w:val="21"/>
              </w:rPr>
              <w:t>90%以下  事件及时率*</w:t>
            </w:r>
            <w:r>
              <w:rPr>
                <w:rFonts w:ascii="宋体" w:hAnsi="宋体"/>
                <w:szCs w:val="21"/>
              </w:rPr>
              <w:t>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78" w:hRule="atLeast"/>
          <w:jc w:val="center"/>
        </w:trPr>
        <w:tc>
          <w:tcPr>
            <w:tcW w:w="704"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3</w:t>
            </w:r>
          </w:p>
        </w:tc>
        <w:tc>
          <w:tcPr>
            <w:tcW w:w="2693" w:type="dxa"/>
            <w:tcMar>
              <w:top w:w="15" w:type="dxa"/>
              <w:left w:w="108" w:type="dxa"/>
              <w:bottom w:w="0" w:type="dxa"/>
              <w:right w:w="108" w:type="dxa"/>
            </w:tcMar>
            <w:vAlign w:val="center"/>
          </w:tcPr>
          <w:p>
            <w:pPr>
              <w:rPr>
                <w:rFonts w:ascii="宋体" w:hAnsi="宋体"/>
                <w:szCs w:val="21"/>
              </w:rPr>
            </w:pPr>
            <w:r>
              <w:rPr>
                <w:rFonts w:hint="eastAsia" w:ascii="宋体" w:hAnsi="宋体"/>
                <w:szCs w:val="21"/>
              </w:rPr>
              <w:t>事件回访满意率</w:t>
            </w:r>
          </w:p>
        </w:tc>
        <w:tc>
          <w:tcPr>
            <w:tcW w:w="3828" w:type="dxa"/>
            <w:vAlign w:val="center"/>
          </w:tcPr>
          <w:p>
            <w:pPr>
              <w:ind w:firstLine="174" w:firstLineChars="83"/>
              <w:rPr>
                <w:rFonts w:ascii="宋体" w:hAnsi="宋体"/>
                <w:szCs w:val="21"/>
              </w:rPr>
            </w:pPr>
            <w:r>
              <w:rPr>
                <w:rFonts w:hint="eastAsia" w:ascii="宋体" w:hAnsi="宋体"/>
                <w:szCs w:val="21"/>
              </w:rPr>
              <w:t>90%-</w:t>
            </w:r>
            <w:r>
              <w:rPr>
                <w:rFonts w:ascii="宋体" w:hAnsi="宋体"/>
                <w:szCs w:val="21"/>
              </w:rPr>
              <w:t>100</w:t>
            </w:r>
            <w:r>
              <w:rPr>
                <w:rFonts w:hint="eastAsia" w:ascii="宋体" w:hAnsi="宋体"/>
                <w:szCs w:val="21"/>
              </w:rPr>
              <w:t>%</w:t>
            </w:r>
            <w:r>
              <w:rPr>
                <w:rFonts w:ascii="宋体" w:hAnsi="宋体"/>
                <w:szCs w:val="21"/>
              </w:rPr>
              <w:t xml:space="preserve">  30分</w:t>
            </w:r>
          </w:p>
          <w:p>
            <w:pPr>
              <w:ind w:firstLine="174" w:firstLineChars="83"/>
              <w:rPr>
                <w:rFonts w:ascii="宋体" w:hAnsi="宋体"/>
                <w:szCs w:val="21"/>
              </w:rPr>
            </w:pPr>
            <w:r>
              <w:rPr>
                <w:rFonts w:hint="eastAsia" w:ascii="宋体" w:hAnsi="宋体"/>
                <w:szCs w:val="21"/>
              </w:rPr>
              <w:t>90%以下</w:t>
            </w:r>
            <w:r>
              <w:rPr>
                <w:rFonts w:ascii="宋体" w:hAnsi="宋体"/>
                <w:szCs w:val="21"/>
              </w:rPr>
              <w:t xml:space="preserve">  </w:t>
            </w:r>
            <w:r>
              <w:rPr>
                <w:rFonts w:hint="eastAsia" w:ascii="宋体" w:hAnsi="宋体"/>
                <w:szCs w:val="21"/>
              </w:rPr>
              <w:t>事件回访满意率*</w:t>
            </w:r>
            <w:r>
              <w:rPr>
                <w:rFonts w:ascii="宋体" w:hAnsi="宋体"/>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704" w:type="dxa"/>
            <w:tcMar>
              <w:top w:w="15" w:type="dxa"/>
              <w:left w:w="108" w:type="dxa"/>
              <w:bottom w:w="0" w:type="dxa"/>
              <w:right w:w="108" w:type="dxa"/>
            </w:tcMar>
            <w:vAlign w:val="center"/>
          </w:tcPr>
          <w:p>
            <w:pPr>
              <w:ind w:firstLine="174" w:firstLineChars="83"/>
              <w:rPr>
                <w:rFonts w:ascii="宋体" w:hAnsi="宋体"/>
                <w:szCs w:val="21"/>
              </w:rPr>
            </w:pPr>
            <w:r>
              <w:rPr>
                <w:rFonts w:ascii="宋体" w:hAnsi="宋体"/>
                <w:bCs/>
                <w:szCs w:val="21"/>
              </w:rPr>
              <w:t>4</w:t>
            </w:r>
          </w:p>
        </w:tc>
        <w:tc>
          <w:tcPr>
            <w:tcW w:w="2693" w:type="dxa"/>
            <w:tcMar>
              <w:top w:w="15" w:type="dxa"/>
              <w:left w:w="108" w:type="dxa"/>
              <w:bottom w:w="0" w:type="dxa"/>
              <w:right w:w="108" w:type="dxa"/>
            </w:tcMar>
            <w:vAlign w:val="center"/>
          </w:tcPr>
          <w:p>
            <w:pPr>
              <w:rPr>
                <w:rFonts w:ascii="宋体" w:hAnsi="宋体"/>
                <w:szCs w:val="21"/>
              </w:rPr>
            </w:pPr>
            <w:r>
              <w:rPr>
                <w:rFonts w:hint="eastAsia" w:ascii="宋体" w:hAnsi="宋体"/>
                <w:szCs w:val="21"/>
              </w:rPr>
              <w:t>投诉次数</w:t>
            </w:r>
          </w:p>
        </w:tc>
        <w:tc>
          <w:tcPr>
            <w:tcW w:w="3828" w:type="dxa"/>
            <w:vAlign w:val="center"/>
          </w:tcPr>
          <w:p>
            <w:pPr>
              <w:ind w:firstLine="174" w:firstLineChars="83"/>
              <w:rPr>
                <w:rFonts w:ascii="宋体" w:hAnsi="宋体"/>
                <w:szCs w:val="21"/>
              </w:rPr>
            </w:pPr>
            <w:r>
              <w:rPr>
                <w:rFonts w:hint="eastAsia" w:ascii="宋体" w:hAnsi="宋体"/>
                <w:szCs w:val="21"/>
              </w:rPr>
              <w:t>一次投诉扣5分，扣分不设上限</w:t>
            </w:r>
          </w:p>
        </w:tc>
      </w:tr>
    </w:tbl>
    <w:p>
      <w:pPr>
        <w:pStyle w:val="4"/>
        <w:tabs>
          <w:tab w:val="left" w:pos="0"/>
        </w:tabs>
        <w:adjustRightInd w:val="0"/>
        <w:snapToGrid w:val="0"/>
        <w:spacing w:before="156" w:beforeLines="50" w:after="156" w:afterLines="50" w:line="240" w:lineRule="auto"/>
        <w:rPr>
          <w:rFonts w:eastAsia="楷体_GB2312"/>
          <w:b w:val="0"/>
          <w:bCs w:val="0"/>
          <w:sz w:val="28"/>
          <w:szCs w:val="24"/>
        </w:rPr>
      </w:pPr>
      <w:r>
        <w:rPr>
          <w:rFonts w:hint="eastAsia" w:eastAsia="楷体_GB2312"/>
          <w:b w:val="0"/>
          <w:bCs w:val="0"/>
          <w:sz w:val="28"/>
          <w:szCs w:val="24"/>
        </w:rPr>
        <w:t>1.4.4运维服务费用付款及结算方式</w:t>
      </w:r>
    </w:p>
    <w:p>
      <w:pPr>
        <w:spacing w:line="360" w:lineRule="auto"/>
        <w:ind w:firstLine="480" w:firstLineChars="200"/>
        <w:rPr>
          <w:rFonts w:ascii="宋体" w:hAnsi="宋体"/>
          <w:sz w:val="24"/>
        </w:rPr>
      </w:pPr>
      <w:r>
        <w:rPr>
          <w:rFonts w:hint="eastAsia" w:ascii="宋体" w:hAnsi="宋体"/>
          <w:sz w:val="24"/>
        </w:rPr>
        <w:t>在一个运维服务期内，乙方各运营商按用户数比例承当运维服务费用，并在每个结算期内（按学期结算）根据运维服务考核分值向丙方支付相应比例的运维服务费用，付款比例详见下表。</w:t>
      </w:r>
    </w:p>
    <w:tbl>
      <w:tblPr>
        <w:tblStyle w:val="31"/>
        <w:tblW w:w="44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47"/>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3" w:hRule="atLeast"/>
          <w:jc w:val="center"/>
        </w:trPr>
        <w:tc>
          <w:tcPr>
            <w:tcW w:w="2547" w:type="dxa"/>
            <w:tcMar>
              <w:top w:w="15" w:type="dxa"/>
              <w:left w:w="15" w:type="dxa"/>
              <w:bottom w:w="0" w:type="dxa"/>
              <w:right w:w="15" w:type="dxa"/>
            </w:tcMar>
            <w:vAlign w:val="bottom"/>
          </w:tcPr>
          <w:p>
            <w:pPr>
              <w:spacing w:line="360" w:lineRule="auto"/>
              <w:jc w:val="center"/>
              <w:rPr>
                <w:rFonts w:ascii="宋体" w:hAnsi="宋体"/>
                <w:szCs w:val="21"/>
              </w:rPr>
            </w:pPr>
            <w:r>
              <w:rPr>
                <w:rFonts w:hint="eastAsia" w:ascii="宋体" w:hAnsi="宋体"/>
                <w:szCs w:val="21"/>
              </w:rPr>
              <w:t>考核分值</w:t>
            </w:r>
          </w:p>
        </w:tc>
        <w:tc>
          <w:tcPr>
            <w:tcW w:w="1909" w:type="dxa"/>
            <w:tcMar>
              <w:top w:w="15" w:type="dxa"/>
              <w:left w:w="15" w:type="dxa"/>
              <w:bottom w:w="0" w:type="dxa"/>
              <w:right w:w="15" w:type="dxa"/>
            </w:tcMar>
            <w:vAlign w:val="bottom"/>
          </w:tcPr>
          <w:p>
            <w:pPr>
              <w:spacing w:line="360" w:lineRule="auto"/>
              <w:ind w:firstLine="21" w:firstLineChars="10"/>
              <w:jc w:val="center"/>
              <w:rPr>
                <w:rFonts w:ascii="宋体" w:hAnsi="宋体"/>
                <w:szCs w:val="21"/>
              </w:rPr>
            </w:pPr>
            <w:r>
              <w:rPr>
                <w:rFonts w:hint="eastAsia" w:ascii="宋体" w:hAnsi="宋体"/>
                <w:szCs w:val="21"/>
              </w:rPr>
              <w:t>付款比例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 w:hRule="atLeast"/>
          <w:jc w:val="center"/>
        </w:trPr>
        <w:tc>
          <w:tcPr>
            <w:tcW w:w="2547" w:type="dxa"/>
            <w:tcMar>
              <w:top w:w="15" w:type="dxa"/>
              <w:left w:w="15" w:type="dxa"/>
              <w:bottom w:w="0" w:type="dxa"/>
              <w:right w:w="15" w:type="dxa"/>
            </w:tcMar>
            <w:vAlign w:val="bottom"/>
          </w:tcPr>
          <w:p>
            <w:pPr>
              <w:spacing w:line="360" w:lineRule="auto"/>
              <w:jc w:val="center"/>
              <w:rPr>
                <w:rFonts w:ascii="宋体" w:hAnsi="宋体"/>
                <w:szCs w:val="21"/>
              </w:rPr>
            </w:pPr>
            <w:r>
              <w:rPr>
                <w:rFonts w:ascii="宋体" w:hAnsi="宋体"/>
                <w:szCs w:val="21"/>
              </w:rPr>
              <w:t>80</w:t>
            </w:r>
            <w:r>
              <w:rPr>
                <w:rFonts w:hint="eastAsia" w:ascii="宋体" w:hAnsi="宋体"/>
                <w:szCs w:val="21"/>
              </w:rPr>
              <w:t>分以上</w:t>
            </w:r>
          </w:p>
        </w:tc>
        <w:tc>
          <w:tcPr>
            <w:tcW w:w="1909" w:type="dxa"/>
            <w:tcMar>
              <w:top w:w="15" w:type="dxa"/>
              <w:left w:w="15" w:type="dxa"/>
              <w:bottom w:w="0" w:type="dxa"/>
              <w:right w:w="15" w:type="dxa"/>
            </w:tcMar>
            <w:vAlign w:val="bottom"/>
          </w:tcPr>
          <w:p>
            <w:pPr>
              <w:spacing w:line="360" w:lineRule="auto"/>
              <w:ind w:firstLine="21" w:firstLineChars="10"/>
              <w:jc w:val="center"/>
              <w:rPr>
                <w:rFonts w:ascii="宋体" w:hAnsi="宋体"/>
                <w:szCs w:val="21"/>
              </w:rPr>
            </w:pPr>
            <w:r>
              <w:rPr>
                <w:rFonts w:ascii="宋体" w:hAnsi="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88" w:hRule="atLeast"/>
          <w:jc w:val="center"/>
        </w:trPr>
        <w:tc>
          <w:tcPr>
            <w:tcW w:w="2547" w:type="dxa"/>
            <w:tcMar>
              <w:top w:w="15" w:type="dxa"/>
              <w:left w:w="15" w:type="dxa"/>
              <w:bottom w:w="0" w:type="dxa"/>
              <w:right w:w="15" w:type="dxa"/>
            </w:tcMar>
            <w:vAlign w:val="bottom"/>
          </w:tcPr>
          <w:p>
            <w:pPr>
              <w:spacing w:line="360" w:lineRule="auto"/>
              <w:jc w:val="center"/>
              <w:rPr>
                <w:rFonts w:ascii="宋体" w:hAnsi="宋体"/>
                <w:szCs w:val="21"/>
              </w:rPr>
            </w:pPr>
            <w:r>
              <w:rPr>
                <w:rFonts w:ascii="宋体" w:hAnsi="宋体"/>
                <w:szCs w:val="21"/>
              </w:rPr>
              <w:t>60-80</w:t>
            </w:r>
            <w:r>
              <w:rPr>
                <w:rFonts w:hint="eastAsia" w:ascii="宋体" w:hAnsi="宋体"/>
                <w:szCs w:val="21"/>
              </w:rPr>
              <w:t>分</w:t>
            </w:r>
          </w:p>
        </w:tc>
        <w:tc>
          <w:tcPr>
            <w:tcW w:w="1909" w:type="dxa"/>
            <w:tcMar>
              <w:top w:w="15" w:type="dxa"/>
              <w:left w:w="15" w:type="dxa"/>
              <w:bottom w:w="0" w:type="dxa"/>
              <w:right w:w="15" w:type="dxa"/>
            </w:tcMar>
            <w:vAlign w:val="bottom"/>
          </w:tcPr>
          <w:p>
            <w:pPr>
              <w:spacing w:line="360" w:lineRule="auto"/>
              <w:ind w:firstLine="21" w:firstLineChars="10"/>
              <w:jc w:val="center"/>
              <w:rPr>
                <w:rFonts w:ascii="宋体" w:hAnsi="宋体"/>
                <w:szCs w:val="21"/>
              </w:rPr>
            </w:pPr>
            <w:r>
              <w:rPr>
                <w:rFonts w:ascii="宋体" w:hAnsi="宋体"/>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 w:hRule="atLeast"/>
          <w:jc w:val="center"/>
        </w:trPr>
        <w:tc>
          <w:tcPr>
            <w:tcW w:w="2547" w:type="dxa"/>
            <w:tcMar>
              <w:top w:w="15" w:type="dxa"/>
              <w:left w:w="15" w:type="dxa"/>
              <w:bottom w:w="0" w:type="dxa"/>
              <w:right w:w="15" w:type="dxa"/>
            </w:tcMar>
            <w:vAlign w:val="bottom"/>
          </w:tcPr>
          <w:p>
            <w:pPr>
              <w:spacing w:line="360" w:lineRule="auto"/>
              <w:jc w:val="center"/>
              <w:rPr>
                <w:rFonts w:ascii="宋体" w:hAnsi="宋体"/>
                <w:szCs w:val="21"/>
              </w:rPr>
            </w:pPr>
            <w:r>
              <w:rPr>
                <w:rFonts w:ascii="宋体" w:hAnsi="宋体"/>
                <w:szCs w:val="21"/>
              </w:rPr>
              <w:t>60分以下</w:t>
            </w:r>
          </w:p>
        </w:tc>
        <w:tc>
          <w:tcPr>
            <w:tcW w:w="1909" w:type="dxa"/>
            <w:tcMar>
              <w:top w:w="15" w:type="dxa"/>
              <w:left w:w="15" w:type="dxa"/>
              <w:bottom w:w="0" w:type="dxa"/>
              <w:right w:w="15" w:type="dxa"/>
            </w:tcMar>
            <w:vAlign w:val="bottom"/>
          </w:tcPr>
          <w:p>
            <w:pPr>
              <w:spacing w:line="360" w:lineRule="auto"/>
              <w:ind w:firstLine="21" w:firstLineChars="10"/>
              <w:jc w:val="center"/>
              <w:rPr>
                <w:rFonts w:ascii="宋体" w:hAnsi="宋体"/>
                <w:szCs w:val="21"/>
              </w:rPr>
            </w:pPr>
            <w:r>
              <w:rPr>
                <w:rFonts w:ascii="宋体" w:hAnsi="宋体"/>
                <w:szCs w:val="21"/>
              </w:rPr>
              <w:t>60%</w:t>
            </w:r>
          </w:p>
        </w:tc>
      </w:tr>
    </w:tbl>
    <w:p>
      <w:pPr>
        <w:spacing w:after="156" w:afterLines="50" w:line="360" w:lineRule="auto"/>
        <w:outlineLvl w:val="1"/>
        <w:rPr>
          <w:rFonts w:ascii="宋体" w:hAnsi="宋体"/>
          <w:b/>
          <w:sz w:val="24"/>
        </w:rPr>
      </w:pPr>
      <w:bookmarkStart w:id="7" w:name="_Toc517076107"/>
      <w:bookmarkStart w:id="8" w:name="_Toc215567906"/>
      <w:bookmarkStart w:id="9" w:name="_Toc215567878"/>
      <w:r>
        <w:rPr>
          <w:rFonts w:hint="eastAsia" w:ascii="宋体" w:hAnsi="宋体"/>
          <w:b/>
          <w:sz w:val="24"/>
        </w:rPr>
        <w:t>1.7评审标准（综合评标）</w:t>
      </w:r>
      <w:bookmarkEnd w:id="7"/>
    </w:p>
    <w:p>
      <w:pPr>
        <w:pStyle w:val="36"/>
        <w:adjustRightInd w:val="0"/>
        <w:snapToGrid w:val="0"/>
        <w:spacing w:line="360" w:lineRule="auto"/>
        <w:ind w:firstLine="480"/>
        <w:rPr>
          <w:rFonts w:ascii="宋体" w:hAnsi="宋体"/>
          <w:sz w:val="24"/>
        </w:rPr>
      </w:pPr>
      <w:r>
        <w:rPr>
          <w:rFonts w:hint="eastAsia" w:ascii="宋体" w:hAnsi="宋体"/>
          <w:sz w:val="24"/>
        </w:rPr>
        <w:t>本项目技术部分分值占总分值的权重为40%，资信部分分值占总分值的权重为 30%，价格部分分值占总分值的权重为 30%，满分100分。</w:t>
      </w:r>
      <w:r>
        <w:rPr>
          <w:rFonts w:hint="eastAsia" w:ascii="宋体" w:hAnsi="宋体"/>
          <w:b/>
          <w:color w:val="000000"/>
          <w:sz w:val="24"/>
        </w:rPr>
        <w:t xml:space="preserve"> </w:t>
      </w:r>
    </w:p>
    <w:bookmarkEnd w:id="8"/>
    <w:tbl>
      <w:tblPr>
        <w:tblStyle w:val="31"/>
        <w:tblW w:w="9773" w:type="dxa"/>
        <w:jc w:val="center"/>
        <w:tblInd w:w="0" w:type="dxa"/>
        <w:tblLayout w:type="fixed"/>
        <w:tblCellMar>
          <w:top w:w="0" w:type="dxa"/>
          <w:left w:w="108" w:type="dxa"/>
          <w:bottom w:w="0" w:type="dxa"/>
          <w:right w:w="108" w:type="dxa"/>
        </w:tblCellMar>
      </w:tblPr>
      <w:tblGrid>
        <w:gridCol w:w="1559"/>
        <w:gridCol w:w="6830"/>
        <w:gridCol w:w="1384"/>
      </w:tblGrid>
      <w:tr>
        <w:tblPrEx>
          <w:tblLayout w:type="fixed"/>
          <w:tblCellMar>
            <w:top w:w="0" w:type="dxa"/>
            <w:left w:w="108" w:type="dxa"/>
            <w:bottom w:w="0" w:type="dxa"/>
            <w:right w:w="108" w:type="dxa"/>
          </w:tblCellMar>
        </w:tblPrEx>
        <w:trPr>
          <w:trHeight w:val="270" w:hRule="atLeast"/>
          <w:jc w:val="center"/>
        </w:trPr>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bookmarkStart w:id="10" w:name="_Toc517076098"/>
            <w:r>
              <w:rPr>
                <w:rFonts w:hint="eastAsia" w:ascii="宋体" w:hAnsi="宋体" w:cs="宋体"/>
                <w:color w:val="000000"/>
                <w:kern w:val="0"/>
              </w:rPr>
              <w:t>评分内容</w:t>
            </w:r>
          </w:p>
        </w:tc>
        <w:tc>
          <w:tcPr>
            <w:tcW w:w="68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评分标准</w:t>
            </w:r>
          </w:p>
        </w:tc>
        <w:tc>
          <w:tcPr>
            <w:tcW w:w="13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分值范围</w:t>
            </w:r>
          </w:p>
        </w:tc>
      </w:tr>
      <w:tr>
        <w:tblPrEx>
          <w:tblLayout w:type="fixed"/>
          <w:tblCellMar>
            <w:top w:w="0" w:type="dxa"/>
            <w:left w:w="108" w:type="dxa"/>
            <w:bottom w:w="0" w:type="dxa"/>
            <w:right w:w="108" w:type="dxa"/>
          </w:tblCellMar>
        </w:tblPrEx>
        <w:trPr>
          <w:trHeight w:val="810" w:hRule="atLeast"/>
          <w:jc w:val="center"/>
        </w:trPr>
        <w:tc>
          <w:tcPr>
            <w:tcW w:w="15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szCs w:val="21"/>
              </w:rPr>
              <w:t>商务标评审</w:t>
            </w:r>
          </w:p>
        </w:tc>
        <w:tc>
          <w:tcPr>
            <w:tcW w:w="6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rPr>
            </w:pPr>
            <w:r>
              <w:rPr>
                <w:rFonts w:hint="eastAsia" w:ascii="宋体" w:hAnsi="宋体"/>
                <w:szCs w:val="21"/>
              </w:rPr>
              <w:t>通过商务标评审的投标报价为有效报价，其中的有效最低投标报价为评标基准，商务标价格分值占总分值的权重为</w:t>
            </w:r>
            <w:r>
              <w:rPr>
                <w:rFonts w:hint="eastAsia" w:ascii="宋体" w:hAnsi="宋体"/>
                <w:color w:val="0000FF"/>
                <w:szCs w:val="21"/>
              </w:rPr>
              <w:t>30</w:t>
            </w:r>
            <w:r>
              <w:rPr>
                <w:rFonts w:hint="eastAsia" w:ascii="宋体" w:hAnsi="宋体"/>
                <w:szCs w:val="21"/>
              </w:rPr>
              <w:t>%。基准报价得对应满分</w:t>
            </w:r>
            <w:r>
              <w:rPr>
                <w:rFonts w:hint="eastAsia" w:ascii="宋体" w:hAnsi="宋体"/>
                <w:color w:val="0000FF"/>
                <w:szCs w:val="21"/>
                <w:u w:val="single"/>
              </w:rPr>
              <w:t>30</w:t>
            </w:r>
            <w:r>
              <w:rPr>
                <w:rFonts w:hint="eastAsia" w:ascii="宋体" w:hAnsi="宋体"/>
                <w:szCs w:val="21"/>
              </w:rPr>
              <w:t>分，其余投标人的价格分统一按照公式计算：投标报价得分＝（评标基准价/投标报价）×</w:t>
            </w:r>
            <w:r>
              <w:rPr>
                <w:rFonts w:hint="eastAsia" w:ascii="宋体" w:hAnsi="宋体"/>
                <w:color w:val="0000FF"/>
                <w:szCs w:val="21"/>
                <w:u w:val="single"/>
              </w:rPr>
              <w:t>30</w:t>
            </w:r>
            <w:r>
              <w:rPr>
                <w:rFonts w:hint="eastAsia" w:ascii="宋体" w:hAnsi="宋体"/>
                <w:szCs w:val="21"/>
              </w:rPr>
              <w:t>％×100</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0-30</w:t>
            </w:r>
          </w:p>
        </w:tc>
      </w:tr>
      <w:tr>
        <w:tblPrEx>
          <w:tblLayout w:type="fixed"/>
          <w:tblCellMar>
            <w:top w:w="0" w:type="dxa"/>
            <w:left w:w="108" w:type="dxa"/>
            <w:bottom w:w="0" w:type="dxa"/>
            <w:right w:w="108" w:type="dxa"/>
          </w:tblCellMar>
        </w:tblPrEx>
        <w:trPr>
          <w:trHeight w:val="810" w:hRule="atLeast"/>
          <w:jc w:val="center"/>
        </w:trPr>
        <w:tc>
          <w:tcPr>
            <w:tcW w:w="15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运维方案响应</w:t>
            </w:r>
          </w:p>
        </w:tc>
        <w:tc>
          <w:tcPr>
            <w:tcW w:w="6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根据招标文件内容对投标人的投标方案进行审查，对投标人项目总体方案的完整性、合理性进行评分，是否包含相关资质证明材料、运维团队的组成与管理、服务响应及处理流程、投诉响应、运维服务知识库管理、运维服务资料管理等相关内容，对本项目的管理保障、资金保障、技术保障、制度保障等综合评审，优得6-8分，良好得</w:t>
            </w:r>
            <w:r>
              <w:rPr>
                <w:rFonts w:ascii="宋体" w:hAnsi="宋体" w:cs="宋体"/>
                <w:color w:val="000000"/>
                <w:kern w:val="0"/>
              </w:rPr>
              <w:t>3-5</w:t>
            </w:r>
            <w:r>
              <w:rPr>
                <w:rFonts w:hint="eastAsia" w:ascii="宋体" w:hAnsi="宋体" w:cs="宋体"/>
                <w:color w:val="000000"/>
                <w:kern w:val="0"/>
              </w:rPr>
              <w:t>分，一般得</w:t>
            </w:r>
            <w:r>
              <w:rPr>
                <w:rFonts w:ascii="宋体" w:hAnsi="宋体" w:cs="宋体"/>
                <w:color w:val="000000"/>
                <w:kern w:val="0"/>
              </w:rPr>
              <w:t>0</w:t>
            </w:r>
            <w:r>
              <w:rPr>
                <w:rFonts w:hint="eastAsia" w:ascii="宋体" w:hAnsi="宋体" w:cs="宋体"/>
                <w:color w:val="000000"/>
                <w:kern w:val="0"/>
              </w:rPr>
              <w:t>-</w:t>
            </w:r>
            <w:r>
              <w:rPr>
                <w:rFonts w:ascii="宋体" w:hAnsi="宋体" w:cs="宋体"/>
                <w:color w:val="000000"/>
                <w:kern w:val="0"/>
              </w:rPr>
              <w:t>2</w:t>
            </w:r>
            <w:r>
              <w:rPr>
                <w:rFonts w:hint="eastAsia" w:ascii="宋体" w:hAnsi="宋体" w:cs="宋体"/>
                <w:color w:val="000000"/>
                <w:kern w:val="0"/>
              </w:rPr>
              <w:t>分。</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0-</w:t>
            </w:r>
            <w:r>
              <w:rPr>
                <w:rFonts w:ascii="宋体" w:hAnsi="宋体" w:cs="宋体"/>
                <w:color w:val="000000"/>
                <w:kern w:val="0"/>
              </w:rPr>
              <w:t>8</w:t>
            </w:r>
          </w:p>
        </w:tc>
      </w:tr>
      <w:tr>
        <w:tblPrEx>
          <w:tblLayout w:type="fixed"/>
          <w:tblCellMar>
            <w:top w:w="0" w:type="dxa"/>
            <w:left w:w="108" w:type="dxa"/>
            <w:bottom w:w="0" w:type="dxa"/>
            <w:right w:w="108" w:type="dxa"/>
          </w:tblCellMar>
        </w:tblPrEx>
        <w:trPr>
          <w:trHeight w:val="2700" w:hRule="atLeast"/>
          <w:jc w:val="center"/>
        </w:trPr>
        <w:tc>
          <w:tcPr>
            <w:tcW w:w="15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产品功能演示</w:t>
            </w:r>
          </w:p>
        </w:tc>
        <w:tc>
          <w:tcPr>
            <w:tcW w:w="6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一、运维工具平台整体功能演示：</w:t>
            </w:r>
            <w:r>
              <w:rPr>
                <w:rFonts w:hint="eastAsia" w:ascii="宋体" w:hAnsi="宋体" w:cs="宋体"/>
                <w:color w:val="000000"/>
                <w:kern w:val="0"/>
              </w:rPr>
              <w:br w:type="textWrapping"/>
            </w:r>
            <w:r>
              <w:rPr>
                <w:rFonts w:hint="eastAsia" w:ascii="宋体" w:hAnsi="宋体" w:cs="宋体"/>
                <w:color w:val="000000"/>
                <w:kern w:val="0"/>
              </w:rPr>
              <w:t>1、具备服务台管理，事件管理、问题管理、变更管理、配置管理、知识库管理、报表管理、发布管理功能模块，现场演示，每个功能模块1分，共8分，</w:t>
            </w:r>
            <w:r>
              <w:rPr>
                <w:rFonts w:hint="eastAsia" w:ascii="宋体" w:hAnsi="宋体" w:cs="宋体"/>
                <w:color w:val="000000"/>
                <w:kern w:val="0"/>
              </w:rPr>
              <w:br w:type="textWrapping"/>
            </w:r>
            <w:r>
              <w:rPr>
                <w:rFonts w:hint="eastAsia" w:ascii="宋体" w:hAnsi="宋体" w:cs="宋体"/>
                <w:color w:val="000000"/>
                <w:kern w:val="0"/>
              </w:rPr>
              <w:t>2、支持集成微信平台，进行现场演示，得</w:t>
            </w:r>
            <w:r>
              <w:rPr>
                <w:rFonts w:ascii="宋体" w:hAnsi="宋体" w:cs="宋体"/>
                <w:color w:val="000000"/>
                <w:kern w:val="0"/>
              </w:rPr>
              <w:t>1</w:t>
            </w:r>
            <w:r>
              <w:rPr>
                <w:rFonts w:hint="eastAsia" w:ascii="宋体" w:hAnsi="宋体" w:cs="宋体"/>
                <w:color w:val="000000"/>
                <w:kern w:val="0"/>
              </w:rPr>
              <w:t>分，</w:t>
            </w:r>
            <w:r>
              <w:rPr>
                <w:rFonts w:hint="eastAsia" w:ascii="宋体" w:hAnsi="宋体" w:cs="宋体"/>
                <w:color w:val="000000"/>
                <w:kern w:val="0"/>
              </w:rPr>
              <w:br w:type="textWrapping"/>
            </w:r>
            <w:r>
              <w:rPr>
                <w:rFonts w:hint="eastAsia" w:ascii="宋体" w:hAnsi="宋体" w:cs="宋体"/>
                <w:color w:val="000000"/>
                <w:kern w:val="0"/>
              </w:rPr>
              <w:t>3、系统需对三大运营商授予查看权限，各运营商登陆系统后能看到对应用户的事件信息（装机、故障报修）等，进行现场演示 得2分，</w:t>
            </w:r>
            <w:r>
              <w:rPr>
                <w:rFonts w:hint="eastAsia" w:ascii="宋体" w:hAnsi="宋体" w:cs="宋体"/>
                <w:color w:val="000000"/>
                <w:kern w:val="0"/>
              </w:rPr>
              <w:br w:type="textWrapping"/>
            </w:r>
            <w:r>
              <w:rPr>
                <w:rFonts w:hint="eastAsia" w:ascii="宋体" w:hAnsi="宋体" w:cs="宋体"/>
                <w:color w:val="000000"/>
                <w:kern w:val="0"/>
              </w:rPr>
              <w:t>4、系统每月能够提供汇总统计报表信息，针对各运营商提供用户的事件解决率（装机、故障报修）、事件解决及时率、事件回访满意率等统计报表，进行现场演示，得</w:t>
            </w:r>
            <w:r>
              <w:rPr>
                <w:rFonts w:ascii="宋体" w:hAnsi="宋体" w:cs="宋体"/>
                <w:color w:val="000000"/>
                <w:kern w:val="0"/>
              </w:rPr>
              <w:t>2</w:t>
            </w:r>
            <w:r>
              <w:rPr>
                <w:rFonts w:hint="eastAsia" w:ascii="宋体" w:hAnsi="宋体" w:cs="宋体"/>
                <w:color w:val="000000"/>
                <w:kern w:val="0"/>
              </w:rPr>
              <w:t>分，</w:t>
            </w:r>
            <w:r>
              <w:rPr>
                <w:rFonts w:hint="eastAsia" w:ascii="宋体" w:hAnsi="宋体" w:cs="宋体"/>
                <w:color w:val="000000"/>
                <w:kern w:val="0"/>
              </w:rPr>
              <w:br w:type="textWrapping"/>
            </w:r>
            <w:r>
              <w:rPr>
                <w:rFonts w:hint="eastAsia" w:ascii="宋体" w:hAnsi="宋体" w:cs="宋体"/>
                <w:color w:val="000000"/>
                <w:kern w:val="0"/>
              </w:rPr>
              <w:t>5、系统需与现有的认证计费系统平台进行对接，根据用户的学号，可以查看用户所对应的校园网账号、各运营商账号、联系方式、MAC地址等信息，进行现场演示，得</w:t>
            </w:r>
            <w:r>
              <w:rPr>
                <w:rFonts w:ascii="宋体" w:hAnsi="宋体" w:cs="宋体"/>
                <w:color w:val="000000"/>
                <w:kern w:val="0"/>
              </w:rPr>
              <w:t>3</w:t>
            </w:r>
            <w:r>
              <w:rPr>
                <w:rFonts w:hint="eastAsia" w:ascii="宋体" w:hAnsi="宋体" w:cs="宋体"/>
                <w:color w:val="000000"/>
                <w:kern w:val="0"/>
              </w:rPr>
              <w:t>分，</w:t>
            </w:r>
            <w:r>
              <w:rPr>
                <w:rFonts w:hint="eastAsia" w:ascii="宋体" w:hAnsi="宋体" w:cs="宋体"/>
                <w:color w:val="000000"/>
                <w:kern w:val="0"/>
              </w:rPr>
              <w:br w:type="textWrapping"/>
            </w:r>
            <w:r>
              <w:rPr>
                <w:rFonts w:hint="eastAsia" w:ascii="宋体" w:hAnsi="宋体" w:cs="宋体"/>
                <w:color w:val="000000"/>
                <w:kern w:val="0"/>
              </w:rPr>
              <w:t>6、所统计的基础环境信息（网络配线架端口对应信息、交换机端口信息、光缆平面图、光纤配线架端口对应信息、设备资产信息）必须录入运维服务管理系统，在运维服务管理系统中以图表的形式呈现，得2分</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0-</w:t>
            </w:r>
            <w:r>
              <w:rPr>
                <w:rFonts w:ascii="宋体" w:hAnsi="宋体" w:cs="宋体"/>
                <w:color w:val="000000"/>
                <w:kern w:val="0"/>
              </w:rPr>
              <w:t>18</w:t>
            </w:r>
          </w:p>
        </w:tc>
      </w:tr>
      <w:tr>
        <w:tblPrEx>
          <w:tblLayout w:type="fixed"/>
          <w:tblCellMar>
            <w:top w:w="0" w:type="dxa"/>
            <w:left w:w="108" w:type="dxa"/>
            <w:bottom w:w="0" w:type="dxa"/>
            <w:right w:w="108" w:type="dxa"/>
          </w:tblCellMar>
        </w:tblPrEx>
        <w:trPr>
          <w:trHeight w:val="2700" w:hRule="atLeast"/>
          <w:jc w:val="center"/>
        </w:trPr>
        <w:tc>
          <w:tcPr>
            <w:tcW w:w="15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服务能力</w:t>
            </w:r>
          </w:p>
        </w:tc>
        <w:tc>
          <w:tcPr>
            <w:tcW w:w="6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1、投标人具有ITSS信息技术服务标准的IT服务项目经理证书的，每个得</w:t>
            </w:r>
            <w:r>
              <w:rPr>
                <w:rFonts w:ascii="宋体" w:hAnsi="宋体" w:cs="宋体"/>
                <w:color w:val="000000"/>
                <w:kern w:val="0"/>
              </w:rPr>
              <w:t>2</w:t>
            </w:r>
            <w:r>
              <w:rPr>
                <w:rFonts w:hint="eastAsia" w:ascii="宋体" w:hAnsi="宋体" w:cs="宋体"/>
                <w:color w:val="000000"/>
                <w:kern w:val="0"/>
              </w:rPr>
              <w:t>分，最多得</w:t>
            </w:r>
            <w:r>
              <w:rPr>
                <w:rFonts w:ascii="宋体" w:hAnsi="宋体" w:cs="宋体"/>
                <w:color w:val="000000"/>
                <w:kern w:val="0"/>
              </w:rPr>
              <w:t>4</w:t>
            </w:r>
            <w:r>
              <w:rPr>
                <w:rFonts w:hint="eastAsia" w:ascii="宋体" w:hAnsi="宋体" w:cs="宋体"/>
                <w:color w:val="000000"/>
                <w:kern w:val="0"/>
              </w:rPr>
              <w:t>分，不提供得0分；</w:t>
            </w:r>
          </w:p>
          <w:p>
            <w:pPr>
              <w:widowControl/>
              <w:jc w:val="left"/>
              <w:rPr>
                <w:rFonts w:ascii="宋体" w:hAnsi="宋体" w:cs="宋体"/>
                <w:color w:val="000000"/>
                <w:kern w:val="0"/>
              </w:rPr>
            </w:pPr>
            <w:r>
              <w:rPr>
                <w:rFonts w:hint="eastAsia" w:ascii="宋体" w:hAnsi="宋体" w:cs="宋体"/>
                <w:color w:val="000000"/>
                <w:kern w:val="0"/>
              </w:rPr>
              <w:t>2、投标人需提供一个提供思科、H3C、锐捷或华为网络工程师证书得1分，每个品牌只能提供1个，最多得2分，不提供得0分；</w:t>
            </w:r>
          </w:p>
          <w:p>
            <w:pPr>
              <w:widowControl/>
              <w:jc w:val="left"/>
              <w:rPr>
                <w:rFonts w:ascii="宋体" w:hAnsi="宋体" w:cs="宋体"/>
                <w:color w:val="000000"/>
                <w:kern w:val="0"/>
              </w:rPr>
            </w:pPr>
            <w:r>
              <w:rPr>
                <w:rFonts w:hint="eastAsia" w:ascii="宋体" w:hAnsi="宋体" w:cs="宋体"/>
                <w:color w:val="000000"/>
                <w:kern w:val="0"/>
              </w:rPr>
              <w:t>3、投标人具有系统集成三级及以上得3分；不提供得0分；</w:t>
            </w:r>
          </w:p>
          <w:p>
            <w:pPr>
              <w:widowControl/>
              <w:jc w:val="left"/>
              <w:rPr>
                <w:rFonts w:ascii="宋体" w:hAnsi="宋体" w:cs="宋体"/>
                <w:color w:val="000000"/>
                <w:kern w:val="0"/>
              </w:rPr>
            </w:pPr>
            <w:r>
              <w:rPr>
                <w:rFonts w:hint="eastAsia" w:ascii="宋体" w:hAnsi="宋体" w:cs="宋体"/>
                <w:color w:val="000000"/>
                <w:kern w:val="0"/>
              </w:rPr>
              <w:t>4、投标人具有中国信息安全认证中心颁发的信息安全保障人员认证证书（</w:t>
            </w:r>
            <w:r>
              <w:rPr>
                <w:rFonts w:ascii="宋体" w:hAnsi="宋体" w:cs="宋体"/>
                <w:color w:val="000000"/>
                <w:kern w:val="0"/>
              </w:rPr>
              <w:t>CISAW</w:t>
            </w:r>
            <w:r>
              <w:rPr>
                <w:rFonts w:hint="eastAsia" w:ascii="宋体" w:hAnsi="宋体" w:cs="宋体"/>
                <w:color w:val="000000"/>
                <w:kern w:val="0"/>
              </w:rPr>
              <w:t>）得</w:t>
            </w:r>
            <w:r>
              <w:rPr>
                <w:rFonts w:ascii="宋体" w:hAnsi="宋体" w:cs="宋体"/>
                <w:color w:val="000000"/>
                <w:kern w:val="0"/>
              </w:rPr>
              <w:t>2</w:t>
            </w:r>
            <w:r>
              <w:rPr>
                <w:rFonts w:hint="eastAsia" w:ascii="宋体" w:hAnsi="宋体" w:cs="宋体"/>
                <w:color w:val="000000"/>
                <w:kern w:val="0"/>
              </w:rPr>
              <w:t>分，最多得</w:t>
            </w:r>
            <w:r>
              <w:rPr>
                <w:rFonts w:ascii="宋体" w:hAnsi="宋体" w:cs="宋体"/>
                <w:color w:val="000000"/>
                <w:kern w:val="0"/>
              </w:rPr>
              <w:t>8</w:t>
            </w:r>
            <w:r>
              <w:rPr>
                <w:rFonts w:hint="eastAsia" w:ascii="宋体" w:hAnsi="宋体" w:cs="宋体"/>
                <w:color w:val="000000"/>
                <w:kern w:val="0"/>
              </w:rPr>
              <w:t xml:space="preserve">分；具有中国信息安全测评中心颁发的注册信息安全专业人员（CISP）认证证书的，每个得 </w:t>
            </w:r>
            <w:r>
              <w:rPr>
                <w:rFonts w:ascii="宋体" w:hAnsi="宋体" w:cs="宋体"/>
                <w:color w:val="000000"/>
                <w:kern w:val="0"/>
              </w:rPr>
              <w:t xml:space="preserve">2 </w:t>
            </w:r>
            <w:r>
              <w:rPr>
                <w:rFonts w:hint="eastAsia" w:ascii="宋体" w:hAnsi="宋体" w:cs="宋体"/>
                <w:color w:val="000000"/>
                <w:kern w:val="0"/>
              </w:rPr>
              <w:t xml:space="preserve">分，最多得 </w:t>
            </w:r>
            <w:r>
              <w:rPr>
                <w:rFonts w:ascii="宋体" w:hAnsi="宋体" w:cs="宋体"/>
                <w:color w:val="000000"/>
                <w:kern w:val="0"/>
              </w:rPr>
              <w:t>6</w:t>
            </w:r>
            <w:r>
              <w:rPr>
                <w:rFonts w:hint="eastAsia" w:ascii="宋体" w:hAnsi="宋体" w:cs="宋体"/>
                <w:color w:val="000000"/>
                <w:kern w:val="0"/>
              </w:rPr>
              <w:t>分；</w:t>
            </w:r>
          </w:p>
          <w:p>
            <w:pPr>
              <w:widowControl/>
              <w:jc w:val="left"/>
              <w:rPr>
                <w:rFonts w:ascii="宋体" w:hAnsi="宋体" w:cs="宋体"/>
                <w:color w:val="000000"/>
                <w:kern w:val="0"/>
              </w:rPr>
            </w:pPr>
            <w:r>
              <w:rPr>
                <w:rFonts w:hint="eastAsia" w:ascii="宋体" w:hAnsi="宋体" w:cs="宋体"/>
                <w:color w:val="000000"/>
                <w:kern w:val="0"/>
              </w:rPr>
              <w:t>5、投标人具备ITSS运维服务资质并提供证书复印件，得</w:t>
            </w:r>
            <w:r>
              <w:rPr>
                <w:rFonts w:ascii="宋体" w:hAnsi="宋体" w:cs="宋体"/>
                <w:color w:val="000000"/>
                <w:kern w:val="0"/>
              </w:rPr>
              <w:t>2</w:t>
            </w:r>
            <w:r>
              <w:rPr>
                <w:rFonts w:hint="eastAsia" w:ascii="宋体" w:hAnsi="宋体" w:cs="宋体"/>
                <w:color w:val="000000"/>
                <w:kern w:val="0"/>
              </w:rPr>
              <w:t>分；</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0-</w:t>
            </w:r>
            <w:r>
              <w:rPr>
                <w:rFonts w:ascii="宋体" w:hAnsi="宋体" w:cs="宋体"/>
                <w:color w:val="000000"/>
                <w:kern w:val="0"/>
              </w:rPr>
              <w:t>25</w:t>
            </w:r>
          </w:p>
        </w:tc>
      </w:tr>
      <w:tr>
        <w:tblPrEx>
          <w:tblLayout w:type="fixed"/>
          <w:tblCellMar>
            <w:top w:w="0" w:type="dxa"/>
            <w:left w:w="108" w:type="dxa"/>
            <w:bottom w:w="0" w:type="dxa"/>
            <w:right w:w="108" w:type="dxa"/>
          </w:tblCellMar>
        </w:tblPrEx>
        <w:trPr>
          <w:trHeight w:val="1350" w:hRule="atLeast"/>
          <w:jc w:val="center"/>
        </w:trPr>
        <w:tc>
          <w:tcPr>
            <w:tcW w:w="15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投标人综合能力</w:t>
            </w:r>
          </w:p>
        </w:tc>
        <w:tc>
          <w:tcPr>
            <w:tcW w:w="6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1、投标人需提供安徽省内高校教育行业校园网络建设合同案例</w:t>
            </w:r>
            <w:r>
              <w:rPr>
                <w:rFonts w:ascii="宋体" w:hAnsi="宋体" w:cs="宋体"/>
                <w:color w:val="000000"/>
                <w:kern w:val="0"/>
              </w:rPr>
              <w:t>5</w:t>
            </w:r>
            <w:r>
              <w:rPr>
                <w:rFonts w:hint="eastAsia" w:ascii="宋体" w:hAnsi="宋体" w:cs="宋体"/>
                <w:color w:val="000000"/>
                <w:kern w:val="0"/>
              </w:rPr>
              <w:t>00万以上，每提供1份合同案例，得2分，最多得</w:t>
            </w:r>
            <w:r>
              <w:rPr>
                <w:rFonts w:ascii="宋体" w:hAnsi="宋体" w:cs="宋体"/>
                <w:color w:val="000000"/>
                <w:kern w:val="0"/>
              </w:rPr>
              <w:t>4</w:t>
            </w:r>
            <w:r>
              <w:rPr>
                <w:rFonts w:hint="eastAsia" w:ascii="宋体" w:hAnsi="宋体" w:cs="宋体"/>
                <w:color w:val="000000"/>
                <w:kern w:val="0"/>
              </w:rPr>
              <w:t>分，不提供得0分；</w:t>
            </w:r>
            <w:r>
              <w:rPr>
                <w:rFonts w:hint="eastAsia" w:ascii="宋体" w:hAnsi="宋体" w:cs="宋体"/>
                <w:color w:val="000000"/>
                <w:kern w:val="0"/>
              </w:rPr>
              <w:br w:type="textWrapping"/>
            </w:r>
            <w:r>
              <w:rPr>
                <w:rFonts w:hint="eastAsia" w:ascii="宋体" w:hAnsi="宋体" w:cs="宋体"/>
                <w:color w:val="000000"/>
                <w:kern w:val="0"/>
              </w:rPr>
              <w:t>2、投标人需提供单个合同安徽省内教育行业高校的含宿舍网网络运维服务案例，每提供1份合同案例，得</w:t>
            </w:r>
            <w:r>
              <w:rPr>
                <w:rFonts w:ascii="宋体" w:hAnsi="宋体" w:cs="宋体"/>
                <w:color w:val="000000"/>
                <w:kern w:val="0"/>
              </w:rPr>
              <w:t>5</w:t>
            </w:r>
            <w:r>
              <w:rPr>
                <w:rFonts w:hint="eastAsia" w:ascii="宋体" w:hAnsi="宋体" w:cs="宋体"/>
                <w:color w:val="000000"/>
                <w:kern w:val="0"/>
              </w:rPr>
              <w:t>分，最多得</w:t>
            </w:r>
            <w:r>
              <w:rPr>
                <w:rFonts w:ascii="宋体" w:hAnsi="宋体" w:cs="宋体"/>
                <w:color w:val="000000"/>
                <w:kern w:val="0"/>
              </w:rPr>
              <w:t>15</w:t>
            </w:r>
            <w:r>
              <w:rPr>
                <w:rFonts w:hint="eastAsia" w:ascii="宋体" w:hAnsi="宋体" w:cs="宋体"/>
                <w:color w:val="000000"/>
                <w:kern w:val="0"/>
              </w:rPr>
              <w:t>分；</w:t>
            </w:r>
            <w:r>
              <w:rPr>
                <w:rFonts w:hint="eastAsia" w:ascii="宋体" w:hAnsi="宋体" w:cs="宋体"/>
                <w:color w:val="000000"/>
                <w:kern w:val="0"/>
              </w:rPr>
              <w:br w:type="textWrapping"/>
            </w:r>
            <w:r>
              <w:rPr>
                <w:rFonts w:hint="eastAsia" w:ascii="宋体" w:hAnsi="宋体" w:cs="宋体"/>
                <w:color w:val="000000"/>
                <w:kern w:val="0"/>
              </w:rPr>
              <w:t>注：投标人所提供证书的对应技术人员，需提供最近三个月的社保证明；所有合同案例需为近三年（201</w:t>
            </w:r>
            <w:r>
              <w:rPr>
                <w:rFonts w:ascii="宋体" w:hAnsi="宋体" w:cs="宋体"/>
                <w:color w:val="000000"/>
                <w:kern w:val="0"/>
              </w:rPr>
              <w:t>5</w:t>
            </w:r>
            <w:r>
              <w:rPr>
                <w:rFonts w:hint="eastAsia" w:ascii="宋体" w:hAnsi="宋体" w:cs="宋体"/>
                <w:color w:val="000000"/>
                <w:kern w:val="0"/>
              </w:rPr>
              <w:t>年1月1日起至本项目截标时间止）的案例。</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rPr>
            </w:pPr>
            <w:r>
              <w:rPr>
                <w:rFonts w:hint="eastAsia" w:ascii="宋体" w:hAnsi="宋体" w:cs="宋体"/>
                <w:color w:val="000000"/>
                <w:kern w:val="0"/>
              </w:rPr>
              <w:t>0-</w:t>
            </w:r>
            <w:r>
              <w:rPr>
                <w:rFonts w:ascii="宋体" w:hAnsi="宋体" w:cs="宋体"/>
                <w:color w:val="000000"/>
                <w:kern w:val="0"/>
              </w:rPr>
              <w:t>19</w:t>
            </w:r>
          </w:p>
        </w:tc>
      </w:tr>
    </w:tbl>
    <w:p>
      <w:pPr>
        <w:rPr>
          <w:rFonts w:ascii="宋体" w:hAnsi="宋体"/>
        </w:rPr>
      </w:pPr>
    </w:p>
    <w:p>
      <w:pPr>
        <w:rPr>
          <w:rFonts w:ascii="宋体" w:hAnsi="宋体"/>
        </w:rPr>
      </w:pPr>
    </w:p>
    <w:p>
      <w:pPr>
        <w:rPr>
          <w:rFonts w:ascii="宋体" w:hAnsi="宋体"/>
        </w:rPr>
      </w:pPr>
    </w:p>
    <w:p>
      <w:pPr>
        <w:pageBreakBefore/>
        <w:spacing w:after="156" w:afterLines="50" w:line="360" w:lineRule="auto"/>
        <w:ind w:left="142"/>
        <w:jc w:val="center"/>
        <w:outlineLvl w:val="1"/>
        <w:rPr>
          <w:rFonts w:ascii="宋体" w:hAnsi="宋体"/>
          <w:b/>
          <w:sz w:val="36"/>
          <w:szCs w:val="36"/>
        </w:rPr>
      </w:pPr>
      <w:r>
        <w:rPr>
          <w:rFonts w:hint="eastAsia" w:ascii="宋体" w:hAnsi="宋体"/>
          <w:b/>
          <w:sz w:val="36"/>
          <w:szCs w:val="36"/>
        </w:rPr>
        <w:t xml:space="preserve">安徽职业技术学院2018年宿舍网网络运维服务托管项目 </w:t>
      </w:r>
    </w:p>
    <w:p>
      <w:pPr>
        <w:rPr>
          <w:rFonts w:ascii="宋体" w:hAnsi="宋体"/>
          <w:b/>
          <w:sz w:val="160"/>
        </w:rPr>
      </w:pPr>
    </w:p>
    <w:p>
      <w:pPr>
        <w:ind w:firstLine="4337" w:firstLineChars="300"/>
        <w:rPr>
          <w:rFonts w:ascii="宋体" w:hAnsi="宋体"/>
          <w:b/>
          <w:sz w:val="144"/>
        </w:rPr>
      </w:pPr>
      <w:r>
        <w:rPr>
          <w:rFonts w:hint="eastAsia" w:ascii="宋体" w:hAnsi="宋体"/>
          <w:b/>
          <w:sz w:val="144"/>
        </w:rPr>
        <w:t>投</w:t>
      </w:r>
    </w:p>
    <w:p>
      <w:pPr>
        <w:ind w:firstLine="4337" w:firstLineChars="300"/>
        <w:rPr>
          <w:rFonts w:ascii="宋体" w:hAnsi="宋体"/>
          <w:b/>
          <w:sz w:val="144"/>
        </w:rPr>
      </w:pPr>
      <w:r>
        <w:rPr>
          <w:rFonts w:hint="eastAsia" w:ascii="宋体" w:hAnsi="宋体"/>
          <w:b/>
          <w:sz w:val="144"/>
        </w:rPr>
        <w:t>标</w:t>
      </w:r>
    </w:p>
    <w:p>
      <w:pPr>
        <w:ind w:firstLine="4337" w:firstLineChars="300"/>
        <w:rPr>
          <w:rFonts w:ascii="宋体" w:hAnsi="宋体"/>
          <w:b/>
          <w:sz w:val="144"/>
        </w:rPr>
      </w:pPr>
      <w:r>
        <w:rPr>
          <w:rFonts w:hint="eastAsia" w:ascii="宋体" w:hAnsi="宋体"/>
          <w:b/>
          <w:sz w:val="144"/>
        </w:rPr>
        <w:t>文</w:t>
      </w:r>
    </w:p>
    <w:p>
      <w:pPr>
        <w:ind w:firstLine="4337" w:firstLineChars="300"/>
        <w:rPr>
          <w:rFonts w:ascii="宋体" w:hAnsi="宋体"/>
          <w:b/>
          <w:sz w:val="144"/>
        </w:rPr>
      </w:pPr>
      <w:r>
        <w:rPr>
          <w:rFonts w:hint="eastAsia" w:ascii="宋体" w:hAnsi="宋体"/>
          <w:b/>
          <w:sz w:val="144"/>
        </w:rPr>
        <w:t>件</w:t>
      </w:r>
    </w:p>
    <w:p>
      <w:pPr>
        <w:spacing w:after="156" w:afterLines="50" w:line="360" w:lineRule="auto"/>
        <w:ind w:left="142"/>
        <w:jc w:val="center"/>
        <w:outlineLvl w:val="1"/>
        <w:rPr>
          <w:rFonts w:ascii="宋体" w:hAnsi="宋体"/>
          <w:b/>
          <w:sz w:val="36"/>
          <w:szCs w:val="36"/>
        </w:rPr>
      </w:pPr>
    </w:p>
    <w:p>
      <w:pPr>
        <w:spacing w:after="156" w:afterLines="50" w:line="360" w:lineRule="auto"/>
        <w:ind w:left="142"/>
        <w:jc w:val="center"/>
        <w:outlineLvl w:val="1"/>
        <w:rPr>
          <w:rFonts w:ascii="宋体" w:hAnsi="宋体"/>
          <w:b/>
          <w:sz w:val="36"/>
          <w:szCs w:val="36"/>
        </w:rPr>
      </w:pPr>
    </w:p>
    <w:p>
      <w:pPr>
        <w:spacing w:after="156" w:afterLines="50" w:line="360" w:lineRule="auto"/>
        <w:ind w:left="142" w:firstLine="542" w:firstLineChars="150"/>
        <w:outlineLvl w:val="1"/>
        <w:rPr>
          <w:rFonts w:ascii="宋体" w:hAnsi="宋体"/>
          <w:b/>
          <w:sz w:val="36"/>
          <w:szCs w:val="36"/>
          <w:u w:val="single"/>
        </w:rPr>
      </w:pPr>
      <w:r>
        <w:rPr>
          <w:rFonts w:hint="eastAsia" w:ascii="宋体" w:hAnsi="宋体"/>
          <w:b/>
          <w:sz w:val="36"/>
          <w:szCs w:val="36"/>
        </w:rPr>
        <w:t>单位名称：</w:t>
      </w:r>
      <w:r>
        <w:rPr>
          <w:rFonts w:hint="eastAsia" w:ascii="宋体" w:hAnsi="宋体"/>
          <w:b/>
          <w:sz w:val="36"/>
          <w:szCs w:val="36"/>
          <w:u w:val="single"/>
        </w:rPr>
        <w:t xml:space="preserve">                            </w:t>
      </w:r>
    </w:p>
    <w:p>
      <w:pPr>
        <w:spacing w:after="156" w:afterLines="50" w:line="360" w:lineRule="auto"/>
        <w:ind w:left="142" w:firstLine="542" w:firstLineChars="150"/>
        <w:outlineLvl w:val="1"/>
        <w:rPr>
          <w:rFonts w:ascii="宋体" w:hAnsi="宋体"/>
          <w:b/>
          <w:sz w:val="36"/>
          <w:szCs w:val="36"/>
          <w:u w:val="single"/>
        </w:rPr>
        <w:sectPr>
          <w:pgSz w:w="11906" w:h="16838"/>
          <w:pgMar w:top="1134" w:right="1134" w:bottom="1134" w:left="1134" w:header="567" w:footer="567" w:gutter="0"/>
          <w:pgNumType w:start="1" w:chapStyle="1" w:chapSep="emDash"/>
          <w:cols w:space="425" w:num="1"/>
          <w:titlePg/>
          <w:docGrid w:type="lines" w:linePitch="312" w:charSpace="0"/>
        </w:sectPr>
      </w:pPr>
      <w:r>
        <w:rPr>
          <w:rFonts w:hint="eastAsia" w:ascii="宋体" w:hAnsi="宋体"/>
          <w:b/>
          <w:sz w:val="36"/>
          <w:szCs w:val="36"/>
        </w:rPr>
        <w:t>投标时间：</w:t>
      </w:r>
      <w:r>
        <w:rPr>
          <w:rFonts w:hint="eastAsia" w:ascii="宋体" w:hAnsi="宋体"/>
          <w:b/>
          <w:sz w:val="36"/>
          <w:szCs w:val="36"/>
          <w:u w:val="single"/>
        </w:rPr>
        <w:t xml:space="preserve">                            </w:t>
      </w:r>
    </w:p>
    <w:p>
      <w:pPr>
        <w:spacing w:after="156" w:afterLines="50" w:line="360" w:lineRule="auto"/>
        <w:ind w:left="142"/>
        <w:outlineLvl w:val="1"/>
        <w:rPr>
          <w:rFonts w:ascii="宋体" w:hAnsi="宋体"/>
          <w:b/>
          <w:sz w:val="24"/>
        </w:rPr>
      </w:pPr>
      <w:r>
        <w:rPr>
          <w:rFonts w:hint="eastAsia" w:ascii="宋体" w:hAnsi="宋体"/>
          <w:b/>
          <w:sz w:val="24"/>
        </w:rPr>
        <w:t>1.8投标</w:t>
      </w:r>
      <w:r>
        <w:rPr>
          <w:rFonts w:ascii="宋体" w:hAnsi="宋体"/>
          <w:b/>
          <w:sz w:val="24"/>
        </w:rPr>
        <w:t>文件的编制</w:t>
      </w:r>
      <w:bookmarkEnd w:id="9"/>
      <w:bookmarkEnd w:id="10"/>
    </w:p>
    <w:p>
      <w:pPr>
        <w:spacing w:after="156" w:afterLines="50" w:line="360" w:lineRule="auto"/>
        <w:ind w:left="142"/>
        <w:outlineLvl w:val="1"/>
        <w:rPr>
          <w:rFonts w:ascii="宋体" w:hAnsi="宋体"/>
          <w:b/>
          <w:sz w:val="24"/>
        </w:rPr>
      </w:pPr>
      <w:r>
        <w:rPr>
          <w:rFonts w:hint="eastAsia" w:ascii="宋体" w:hAnsi="宋体"/>
          <w:b/>
          <w:sz w:val="24"/>
        </w:rPr>
        <w:t>18.1投标文件资料清单</w:t>
      </w:r>
    </w:p>
    <w:tbl>
      <w:tblPr>
        <w:tblStyle w:val="32"/>
        <w:tblW w:w="864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b/>
                <w:sz w:val="24"/>
              </w:rPr>
            </w:pPr>
            <w:r>
              <w:rPr>
                <w:rFonts w:hint="eastAsia" w:ascii="宋体" w:hAnsi="宋体"/>
                <w:b/>
                <w:sz w:val="24"/>
              </w:rPr>
              <w:t>序号</w:t>
            </w:r>
          </w:p>
        </w:tc>
        <w:tc>
          <w:tcPr>
            <w:tcW w:w="6520" w:type="dxa"/>
          </w:tcPr>
          <w:p>
            <w:pPr>
              <w:pStyle w:val="13"/>
              <w:spacing w:line="360" w:lineRule="auto"/>
              <w:ind w:firstLine="0"/>
              <w:jc w:val="center"/>
              <w:rPr>
                <w:rFonts w:ascii="宋体" w:hAnsi="宋体"/>
                <w:b/>
                <w:sz w:val="24"/>
              </w:rPr>
            </w:pPr>
            <w:r>
              <w:rPr>
                <w:rFonts w:hint="eastAsia" w:ascii="宋体" w:hAnsi="宋体"/>
                <w:b/>
                <w:sz w:val="24"/>
              </w:rPr>
              <w:t>资料名称</w:t>
            </w:r>
          </w:p>
        </w:tc>
        <w:tc>
          <w:tcPr>
            <w:tcW w:w="992" w:type="dxa"/>
          </w:tcPr>
          <w:p>
            <w:pPr>
              <w:pStyle w:val="13"/>
              <w:spacing w:line="360" w:lineRule="auto"/>
              <w:ind w:firstLine="0"/>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hint="eastAsia" w:ascii="宋体" w:hAnsi="宋体"/>
                <w:sz w:val="24"/>
              </w:rPr>
              <w:t>1</w:t>
            </w:r>
          </w:p>
        </w:tc>
        <w:tc>
          <w:tcPr>
            <w:tcW w:w="6520" w:type="dxa"/>
          </w:tcPr>
          <w:p>
            <w:pPr>
              <w:pStyle w:val="13"/>
              <w:spacing w:line="360" w:lineRule="auto"/>
              <w:ind w:firstLine="0"/>
              <w:rPr>
                <w:rFonts w:ascii="宋体" w:hAnsi="宋体"/>
                <w:sz w:val="24"/>
              </w:rPr>
            </w:pPr>
            <w:r>
              <w:rPr>
                <w:rFonts w:hint="eastAsia" w:ascii="宋体" w:hAnsi="宋体"/>
                <w:sz w:val="24"/>
              </w:rPr>
              <w:t>开标一览表</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2</w:t>
            </w:r>
          </w:p>
        </w:tc>
        <w:tc>
          <w:tcPr>
            <w:tcW w:w="6520" w:type="dxa"/>
          </w:tcPr>
          <w:p>
            <w:pPr>
              <w:pStyle w:val="13"/>
              <w:spacing w:line="360" w:lineRule="auto"/>
              <w:ind w:firstLine="0"/>
              <w:rPr>
                <w:rFonts w:hAnsi="宋体"/>
                <w:sz w:val="24"/>
              </w:rPr>
            </w:pPr>
            <w:r>
              <w:rPr>
                <w:rFonts w:hint="eastAsia" w:hAnsi="宋体"/>
                <w:sz w:val="24"/>
              </w:rPr>
              <w:t>投标保证金退还声明（中标供应商办理合同备案时须携带）</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ascii="宋体" w:hAnsi="宋体"/>
                <w:sz w:val="24"/>
              </w:rPr>
            </w:pPr>
            <w:r>
              <w:rPr>
                <w:rFonts w:ascii="宋体" w:hAnsi="宋体"/>
                <w:sz w:val="24"/>
              </w:rPr>
              <w:t>3</w:t>
            </w:r>
          </w:p>
        </w:tc>
        <w:tc>
          <w:tcPr>
            <w:tcW w:w="6520" w:type="dxa"/>
          </w:tcPr>
          <w:p>
            <w:pPr>
              <w:pStyle w:val="13"/>
              <w:spacing w:line="360" w:lineRule="auto"/>
              <w:ind w:firstLine="0"/>
              <w:rPr>
                <w:rFonts w:ascii="宋体" w:hAnsi="宋体"/>
                <w:sz w:val="24"/>
              </w:rPr>
            </w:pPr>
            <w:r>
              <w:rPr>
                <w:rFonts w:hint="eastAsia" w:ascii="宋体" w:hAnsi="宋体"/>
                <w:sz w:val="24"/>
              </w:rPr>
              <w:t>投标供应商综合情况简介</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4</w:t>
            </w:r>
          </w:p>
        </w:tc>
        <w:tc>
          <w:tcPr>
            <w:tcW w:w="6520" w:type="dxa"/>
          </w:tcPr>
          <w:p>
            <w:pPr>
              <w:pStyle w:val="13"/>
              <w:spacing w:line="360" w:lineRule="auto"/>
              <w:ind w:firstLine="0"/>
              <w:rPr>
                <w:rFonts w:ascii="宋体" w:hAnsi="宋体"/>
                <w:sz w:val="24"/>
              </w:rPr>
            </w:pPr>
            <w:r>
              <w:rPr>
                <w:rFonts w:hint="eastAsia" w:ascii="宋体" w:hAnsi="宋体"/>
                <w:sz w:val="24"/>
              </w:rPr>
              <w:t>投标函</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5</w:t>
            </w:r>
          </w:p>
        </w:tc>
        <w:tc>
          <w:tcPr>
            <w:tcW w:w="6520" w:type="dxa"/>
          </w:tcPr>
          <w:p>
            <w:pPr>
              <w:pStyle w:val="13"/>
              <w:spacing w:line="360" w:lineRule="auto"/>
              <w:ind w:firstLine="0"/>
              <w:rPr>
                <w:rFonts w:ascii="宋体" w:hAnsi="宋体"/>
                <w:sz w:val="24"/>
              </w:rPr>
            </w:pPr>
            <w:r>
              <w:rPr>
                <w:rFonts w:hint="eastAsia" w:ascii="宋体" w:hAnsi="宋体"/>
                <w:sz w:val="24"/>
              </w:rPr>
              <w:t>无重大违法记录声明函，无不良信用记录声明函</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6</w:t>
            </w:r>
          </w:p>
        </w:tc>
        <w:tc>
          <w:tcPr>
            <w:tcW w:w="6520" w:type="dxa"/>
          </w:tcPr>
          <w:p>
            <w:pPr>
              <w:pStyle w:val="13"/>
              <w:spacing w:line="360" w:lineRule="auto"/>
              <w:ind w:firstLine="0"/>
              <w:rPr>
                <w:rFonts w:ascii="宋体" w:hAnsi="宋体"/>
                <w:sz w:val="24"/>
              </w:rPr>
            </w:pPr>
            <w:r>
              <w:rPr>
                <w:rFonts w:hint="eastAsia" w:ascii="宋体" w:hAnsi="宋体"/>
                <w:sz w:val="24"/>
              </w:rPr>
              <w:t>投标业绩承诺函</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ascii="宋体" w:hAnsi="宋体"/>
                <w:sz w:val="24"/>
              </w:rPr>
            </w:pPr>
            <w:r>
              <w:rPr>
                <w:rFonts w:ascii="宋体" w:hAnsi="宋体"/>
                <w:sz w:val="24"/>
              </w:rPr>
              <w:t>7</w:t>
            </w:r>
          </w:p>
        </w:tc>
        <w:tc>
          <w:tcPr>
            <w:tcW w:w="6520" w:type="dxa"/>
          </w:tcPr>
          <w:p>
            <w:pPr>
              <w:pStyle w:val="13"/>
              <w:spacing w:line="360" w:lineRule="auto"/>
              <w:ind w:firstLine="0"/>
              <w:rPr>
                <w:rFonts w:ascii="宋体" w:hAnsi="宋体"/>
                <w:sz w:val="24"/>
              </w:rPr>
            </w:pPr>
            <w:r>
              <w:rPr>
                <w:rFonts w:hint="eastAsia" w:ascii="宋体" w:hAnsi="宋体"/>
                <w:sz w:val="24"/>
              </w:rPr>
              <w:t>投标授权书</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8</w:t>
            </w:r>
          </w:p>
        </w:tc>
        <w:tc>
          <w:tcPr>
            <w:tcW w:w="6520" w:type="dxa"/>
          </w:tcPr>
          <w:p>
            <w:pPr>
              <w:pStyle w:val="13"/>
              <w:spacing w:line="360" w:lineRule="auto"/>
              <w:ind w:firstLine="0"/>
              <w:rPr>
                <w:rFonts w:ascii="宋体" w:hAnsi="宋体"/>
                <w:sz w:val="24"/>
              </w:rPr>
            </w:pPr>
            <w:r>
              <w:rPr>
                <w:rFonts w:hint="eastAsia" w:ascii="宋体" w:hAnsi="宋体"/>
                <w:sz w:val="24"/>
              </w:rPr>
              <w:t>本地化服务情况一览表</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9</w:t>
            </w:r>
          </w:p>
        </w:tc>
        <w:tc>
          <w:tcPr>
            <w:tcW w:w="6520" w:type="dxa"/>
          </w:tcPr>
          <w:p>
            <w:pPr>
              <w:pStyle w:val="13"/>
              <w:spacing w:line="360" w:lineRule="auto"/>
              <w:ind w:firstLine="0"/>
              <w:rPr>
                <w:rFonts w:ascii="宋体" w:hAnsi="宋体"/>
                <w:sz w:val="24"/>
              </w:rPr>
            </w:pPr>
            <w:r>
              <w:rPr>
                <w:rFonts w:hint="eastAsia" w:ascii="宋体" w:hAnsi="宋体"/>
                <w:sz w:val="24"/>
              </w:rPr>
              <w:t>人员配备</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ascii="宋体" w:hAnsi="宋体"/>
                <w:sz w:val="24"/>
              </w:rPr>
              <w:t>10</w:t>
            </w:r>
          </w:p>
        </w:tc>
        <w:tc>
          <w:tcPr>
            <w:tcW w:w="6520" w:type="dxa"/>
          </w:tcPr>
          <w:p>
            <w:pPr>
              <w:pStyle w:val="13"/>
              <w:spacing w:line="360" w:lineRule="auto"/>
              <w:ind w:firstLine="0"/>
              <w:rPr>
                <w:rFonts w:ascii="宋体" w:hAnsi="宋体"/>
                <w:sz w:val="24"/>
              </w:rPr>
            </w:pPr>
            <w:r>
              <w:rPr>
                <w:rFonts w:hint="eastAsia" w:ascii="宋体" w:hAnsi="宋体"/>
                <w:sz w:val="24"/>
              </w:rPr>
              <w:t>服务方案</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ascii="宋体" w:hAnsi="宋体"/>
                <w:sz w:val="24"/>
              </w:rPr>
            </w:pPr>
            <w:r>
              <w:rPr>
                <w:rFonts w:hint="eastAsia" w:ascii="宋体" w:hAnsi="宋体"/>
                <w:sz w:val="24"/>
              </w:rPr>
              <w:t>1</w:t>
            </w:r>
            <w:r>
              <w:rPr>
                <w:rFonts w:ascii="宋体" w:hAnsi="宋体"/>
                <w:sz w:val="24"/>
              </w:rPr>
              <w:t>1</w:t>
            </w:r>
          </w:p>
        </w:tc>
        <w:tc>
          <w:tcPr>
            <w:tcW w:w="6520" w:type="dxa"/>
          </w:tcPr>
          <w:p>
            <w:pPr>
              <w:pStyle w:val="13"/>
              <w:spacing w:line="360" w:lineRule="auto"/>
              <w:ind w:firstLine="0"/>
              <w:rPr>
                <w:rFonts w:ascii="宋体" w:hAnsi="宋体"/>
                <w:sz w:val="24"/>
              </w:rPr>
            </w:pPr>
            <w:r>
              <w:rPr>
                <w:rFonts w:hint="eastAsia" w:ascii="宋体" w:hAnsi="宋体"/>
                <w:sz w:val="24"/>
              </w:rPr>
              <w:t>服务承诺</w:t>
            </w:r>
          </w:p>
        </w:tc>
        <w:tc>
          <w:tcPr>
            <w:tcW w:w="992" w:type="dxa"/>
          </w:tcPr>
          <w:p>
            <w:pPr>
              <w:pStyle w:val="13"/>
              <w:spacing w:line="360" w:lineRule="auto"/>
              <w:ind w:firstLine="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ascii="宋体" w:hAnsi="宋体"/>
                <w:sz w:val="24"/>
              </w:rPr>
            </w:pPr>
            <w:r>
              <w:rPr>
                <w:rFonts w:hint="eastAsia" w:ascii="宋体" w:hAnsi="宋体"/>
                <w:sz w:val="24"/>
              </w:rPr>
              <w:t>1</w:t>
            </w:r>
            <w:r>
              <w:rPr>
                <w:rFonts w:ascii="宋体" w:hAnsi="宋体"/>
                <w:sz w:val="24"/>
              </w:rPr>
              <w:t>2</w:t>
            </w:r>
          </w:p>
        </w:tc>
        <w:tc>
          <w:tcPr>
            <w:tcW w:w="6520" w:type="dxa"/>
          </w:tcPr>
          <w:p>
            <w:pPr>
              <w:pStyle w:val="13"/>
              <w:spacing w:line="360" w:lineRule="auto"/>
              <w:ind w:firstLine="0"/>
              <w:rPr>
                <w:rFonts w:ascii="宋体" w:hAnsi="宋体"/>
                <w:sz w:val="24"/>
              </w:rPr>
            </w:pPr>
            <w:r>
              <w:rPr>
                <w:rFonts w:hint="eastAsia" w:ascii="宋体" w:hAnsi="宋体"/>
                <w:sz w:val="24"/>
              </w:rPr>
              <w:t>有关证明文件</w:t>
            </w:r>
          </w:p>
        </w:tc>
        <w:tc>
          <w:tcPr>
            <w:tcW w:w="992" w:type="dxa"/>
          </w:tcPr>
          <w:p>
            <w:pPr>
              <w:pStyle w:val="13"/>
              <w:spacing w:line="360" w:lineRule="auto"/>
              <w:ind w:firstLine="0"/>
              <w:rPr>
                <w:rFonts w:ascii="宋体" w:hAnsi="宋体"/>
                <w:sz w:val="24"/>
              </w:rPr>
            </w:pPr>
          </w:p>
        </w:tc>
      </w:tr>
    </w:tbl>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r>
        <w:rPr>
          <w:rFonts w:hint="eastAsia" w:ascii="宋体" w:hAnsi="宋体"/>
          <w:bCs/>
          <w:sz w:val="28"/>
          <w:szCs w:val="28"/>
        </w:rPr>
        <w:t>附近一</w:t>
      </w:r>
    </w:p>
    <w:p>
      <w:pPr>
        <w:adjustRightInd w:val="0"/>
        <w:snapToGrid w:val="0"/>
        <w:spacing w:before="62" w:beforeLines="20" w:after="62" w:afterLines="20" w:line="540" w:lineRule="exact"/>
        <w:ind w:right="15" w:rightChars="7"/>
        <w:jc w:val="center"/>
        <w:rPr>
          <w:rFonts w:ascii="宋体" w:hAnsi="宋体"/>
          <w:b/>
          <w:bCs/>
          <w:sz w:val="36"/>
          <w:szCs w:val="36"/>
        </w:rPr>
      </w:pPr>
      <w:r>
        <w:rPr>
          <w:rFonts w:hint="eastAsia" w:ascii="宋体" w:hAnsi="宋体"/>
          <w:b/>
          <w:bCs/>
          <w:sz w:val="36"/>
          <w:szCs w:val="36"/>
        </w:rPr>
        <w:t>授 权 委 托 书</w:t>
      </w:r>
    </w:p>
    <w:p>
      <w:pPr>
        <w:pStyle w:val="17"/>
        <w:adjustRightInd w:val="0"/>
        <w:snapToGrid w:val="0"/>
        <w:spacing w:before="62" w:beforeLines="20" w:after="62" w:afterLines="20" w:line="540" w:lineRule="exact"/>
        <w:ind w:left="0" w:leftChars="0" w:right="15" w:rightChars="7" w:firstLine="540" w:firstLineChars="225"/>
        <w:rPr>
          <w:rFonts w:ascii="宋体" w:hAnsi="宋体"/>
          <w:sz w:val="24"/>
        </w:rPr>
      </w:pPr>
    </w:p>
    <w:p>
      <w:pPr>
        <w:pStyle w:val="17"/>
        <w:adjustRightInd w:val="0"/>
        <w:snapToGrid w:val="0"/>
        <w:spacing w:before="62" w:beforeLines="20" w:after="62" w:afterLines="20" w:line="540" w:lineRule="exact"/>
        <w:ind w:left="0" w:leftChars="0" w:right="15" w:rightChars="7" w:firstLine="540" w:firstLineChars="225"/>
        <w:rPr>
          <w:rFonts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（投 标 人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的项目，以本公司的名义签署投标书，进行投标、签署合同和处理与之有关的一切事宜。</w:t>
      </w:r>
    </w:p>
    <w:p>
      <w:pPr>
        <w:pStyle w:val="15"/>
        <w:adjustRightInd w:val="0"/>
        <w:snapToGrid w:val="0"/>
        <w:spacing w:before="62" w:beforeLines="20" w:after="62" w:afterLines="20" w:line="540" w:lineRule="exact"/>
        <w:ind w:left="0" w:leftChars="0" w:right="15" w:rightChars="7" w:firstLine="540" w:firstLineChars="225"/>
        <w:rPr>
          <w:rFonts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before="62" w:beforeLines="20" w:after="62" w:afterLines="20" w:line="540" w:lineRule="exact"/>
        <w:ind w:right="15" w:rightChars="7" w:firstLine="540" w:firstLineChars="225"/>
        <w:rPr>
          <w:rFonts w:ascii="宋体" w:hAnsi="宋体"/>
          <w:sz w:val="24"/>
        </w:rPr>
      </w:pPr>
    </w:p>
    <w:p>
      <w:pPr>
        <w:adjustRightInd w:val="0"/>
        <w:snapToGrid w:val="0"/>
        <w:spacing w:before="62" w:beforeLines="20" w:after="62" w:afterLines="20" w:line="540" w:lineRule="exact"/>
        <w:ind w:right="15" w:rightChars="7" w:firstLine="1200" w:firstLineChars="500"/>
        <w:rPr>
          <w:rFonts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pStyle w:val="4"/>
        <w:adjustRightInd w:val="0"/>
        <w:snapToGrid w:val="0"/>
        <w:spacing w:before="62" w:beforeLines="20" w:after="62" w:afterLines="20" w:line="540" w:lineRule="exact"/>
        <w:ind w:right="15" w:rightChars="7"/>
        <w:jc w:val="right"/>
        <w:rPr>
          <w:rFonts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line="540" w:lineRule="exact"/>
        <w:ind w:right="15" w:rightChars="7"/>
        <w:rPr>
          <w:rFonts w:ascii="宋体" w:hAnsi="宋体"/>
          <w:bCs/>
          <w:sz w:val="28"/>
          <w:szCs w:val="28"/>
        </w:rPr>
      </w:pPr>
      <w:r>
        <w:rPr>
          <w:rFonts w:hint="eastAsia" w:ascii="宋体" w:hAnsi="宋体"/>
          <w:bCs/>
          <w:sz w:val="28"/>
          <w:szCs w:val="28"/>
        </w:rPr>
        <w:t>附件二</w:t>
      </w:r>
    </w:p>
    <w:p>
      <w:pPr>
        <w:pStyle w:val="4"/>
        <w:adjustRightInd w:val="0"/>
        <w:snapToGrid w:val="0"/>
        <w:spacing w:before="156" w:beforeLines="50" w:after="156" w:afterLines="50" w:line="540" w:lineRule="exact"/>
        <w:ind w:right="15" w:rightChars="7"/>
        <w:jc w:val="center"/>
        <w:rPr>
          <w:rFonts w:ascii="宋体" w:hAnsi="宋体"/>
        </w:rPr>
      </w:pPr>
      <w:bookmarkStart w:id="11" w:name="_Toc17197761"/>
      <w:r>
        <w:rPr>
          <w:rFonts w:hint="eastAsia" w:ascii="宋体" w:hAnsi="宋体"/>
        </w:rPr>
        <w:t>投 标 函</w:t>
      </w:r>
      <w:bookmarkEnd w:id="11"/>
    </w:p>
    <w:p>
      <w:pPr>
        <w:adjustRightInd w:val="0"/>
        <w:snapToGrid w:val="0"/>
        <w:spacing w:line="500" w:lineRule="exact"/>
        <w:ind w:right="15" w:rightChars="7"/>
        <w:rPr>
          <w:rFonts w:ascii="宋体" w:hAnsi="宋体"/>
          <w:sz w:val="24"/>
          <w:u w:val="single"/>
        </w:rPr>
      </w:pPr>
      <w:r>
        <w:rPr>
          <w:rFonts w:hint="eastAsia" w:ascii="宋体" w:hAnsi="宋体"/>
          <w:sz w:val="24"/>
        </w:rPr>
        <w:t>致：</w:t>
      </w:r>
      <w:r>
        <w:rPr>
          <w:rFonts w:ascii="宋体" w:hAnsi="宋体"/>
          <w:sz w:val="24"/>
          <w:u w:val="single"/>
        </w:rPr>
        <w:t xml:space="preserve">   {招标人名称}   </w:t>
      </w:r>
    </w:p>
    <w:p>
      <w:pPr>
        <w:tabs>
          <w:tab w:val="left" w:pos="7560"/>
        </w:tabs>
        <w:adjustRightInd w:val="0"/>
        <w:snapToGrid w:val="0"/>
        <w:spacing w:line="500" w:lineRule="exact"/>
        <w:ind w:right="15" w:rightChars="7" w:firstLine="480"/>
        <w:jc w:val="left"/>
        <w:rPr>
          <w:rFonts w:ascii="宋体" w:hAnsi="宋体"/>
          <w:sz w:val="24"/>
        </w:rPr>
      </w:pPr>
      <w:r>
        <w:rPr>
          <w:rFonts w:ascii="宋体" w:hAnsi="宋体"/>
          <w:sz w:val="24"/>
        </w:rPr>
        <w:t>1、</w:t>
      </w:r>
      <w:r>
        <w:rPr>
          <w:rFonts w:ascii="宋体" w:hAnsi="宋体"/>
          <w:spacing w:val="4"/>
          <w:sz w:val="24"/>
        </w:rPr>
        <w:t>根据你方招标项目编号为</w:t>
      </w:r>
      <w:r>
        <w:rPr>
          <w:rFonts w:ascii="宋体" w:hAnsi="宋体"/>
          <w:spacing w:val="4"/>
          <w:sz w:val="24"/>
          <w:u w:val="single"/>
        </w:rPr>
        <w:t xml:space="preserve">  {项目编号}  </w:t>
      </w:r>
      <w:r>
        <w:rPr>
          <w:rFonts w:hint="eastAsia" w:ascii="宋体" w:hAnsi="宋体"/>
          <w:spacing w:val="4"/>
          <w:sz w:val="24"/>
        </w:rPr>
        <w:t>的</w:t>
      </w:r>
      <w:r>
        <w:rPr>
          <w:rFonts w:ascii="宋体" w:hAnsi="宋体"/>
          <w:spacing w:val="4"/>
          <w:sz w:val="24"/>
          <w:u w:val="single"/>
        </w:rPr>
        <w:t xml:space="preserve">  {招标项目名称}  </w:t>
      </w:r>
      <w:r>
        <w:rPr>
          <w:rFonts w:hint="eastAsia" w:ascii="宋体" w:hAnsi="宋体"/>
          <w:spacing w:val="4"/>
          <w:sz w:val="24"/>
        </w:rPr>
        <w:t>招标文件，遵照《中华人民共和国招标投标法》等有关规定，经我公司研究上述招标文件的投标须知、合同条款和工程建设技术标准及其他有关文件后，我方愿以</w:t>
      </w:r>
      <w:r>
        <w:rPr>
          <w:rFonts w:hint="eastAsia" w:ascii="宋体" w:hAnsi="宋体"/>
          <w:sz w:val="24"/>
          <w:u w:val="single"/>
        </w:rPr>
        <w:t>　            　　　　　　　　   　　　　</w:t>
      </w:r>
      <w:r>
        <w:rPr>
          <w:rFonts w:hint="eastAsia" w:ascii="宋体" w:hAnsi="宋体"/>
          <w:sz w:val="24"/>
        </w:rPr>
        <w:t>元（小写：</w:t>
      </w:r>
      <w:r>
        <w:rPr>
          <w:rFonts w:hint="eastAsia" w:ascii="宋体" w:hAnsi="宋体"/>
          <w:sz w:val="24"/>
          <w:u w:val="single"/>
        </w:rPr>
        <w:t>　　   　　</w:t>
      </w:r>
      <w:r>
        <w:rPr>
          <w:rFonts w:hint="eastAsia" w:ascii="宋体" w:hAnsi="宋体"/>
          <w:sz w:val="24"/>
        </w:rPr>
        <w:t>元）的投标总报价，</w:t>
      </w:r>
      <w:r>
        <w:rPr>
          <w:rFonts w:hint="eastAsia" w:ascii="宋体" w:hAnsi="宋体"/>
          <w:bCs/>
          <w:sz w:val="24"/>
        </w:rPr>
        <w:t>并承诺按本招标文件、合同条款</w:t>
      </w:r>
      <w:r>
        <w:rPr>
          <w:rFonts w:hint="eastAsia" w:ascii="宋体" w:hAnsi="宋体"/>
          <w:sz w:val="24"/>
        </w:rPr>
        <w:t>承担</w:t>
      </w:r>
      <w:r>
        <w:rPr>
          <w:rFonts w:hint="eastAsia" w:ascii="宋体" w:hAnsi="宋体"/>
          <w:bCs/>
          <w:sz w:val="24"/>
        </w:rPr>
        <w:t>上述项目的检测及服务。</w:t>
      </w:r>
    </w:p>
    <w:p>
      <w:pPr>
        <w:pStyle w:val="15"/>
        <w:adjustRightInd w:val="0"/>
        <w:snapToGrid w:val="0"/>
        <w:spacing w:after="0" w:line="500" w:lineRule="exact"/>
        <w:ind w:left="0" w:leftChars="0" w:right="15" w:rightChars="7" w:firstLine="420" w:firstLineChars="175"/>
        <w:rPr>
          <w:rFonts w:ascii="宋体" w:hAnsi="宋体"/>
          <w:sz w:val="24"/>
        </w:rPr>
      </w:pPr>
      <w:r>
        <w:rPr>
          <w:rFonts w:ascii="宋体" w:hAnsi="宋体"/>
          <w:sz w:val="24"/>
        </w:rPr>
        <w:t>2、我方已详细审核并确认全部招标文件及有关附件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3</w:t>
      </w:r>
      <w:r>
        <w:rPr>
          <w:rFonts w:ascii="宋体" w:hAnsi="宋体"/>
          <w:sz w:val="24"/>
        </w:rPr>
        <w:t>、一旦我方中标，我方保证按</w:t>
      </w:r>
      <w:r>
        <w:rPr>
          <w:rFonts w:hint="eastAsia" w:ascii="宋体" w:hAnsi="宋体"/>
          <w:sz w:val="24"/>
        </w:rPr>
        <w:t>招标人的要求如期开工、竣工。</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4</w:t>
      </w:r>
      <w:r>
        <w:rPr>
          <w:rFonts w:ascii="宋体" w:hAnsi="宋体"/>
          <w:sz w:val="24"/>
        </w:rPr>
        <w:t>、一旦我方中标，我方保证</w:t>
      </w:r>
      <w:r>
        <w:rPr>
          <w:rFonts w:hint="eastAsia" w:ascii="宋体" w:hAnsi="宋体"/>
          <w:sz w:val="24"/>
        </w:rPr>
        <w:t>按照招标要求完成项目内容。</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5</w:t>
      </w:r>
      <w:r>
        <w:rPr>
          <w:rFonts w:ascii="宋体" w:hAnsi="宋体"/>
          <w:sz w:val="24"/>
        </w:rPr>
        <w:t>、除非另外达成协议并生效，你方的中标通知书和本投标文件</w:t>
      </w:r>
      <w:r>
        <w:rPr>
          <w:rFonts w:hint="eastAsia" w:ascii="宋体" w:hAnsi="宋体"/>
          <w:sz w:val="24"/>
        </w:rPr>
        <w:t>以及招标文件、招标文件澄清、修改通知、补充文件</w:t>
      </w:r>
      <w:r>
        <w:rPr>
          <w:rFonts w:ascii="宋体" w:hAnsi="宋体"/>
          <w:sz w:val="24"/>
        </w:rPr>
        <w:t>将成为</w:t>
      </w:r>
      <w:r>
        <w:rPr>
          <w:rFonts w:hint="eastAsia" w:ascii="宋体" w:hAnsi="宋体"/>
          <w:sz w:val="24"/>
        </w:rPr>
        <w:t>约束双方的合同文件的组成部分。</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6</w:t>
      </w:r>
      <w:r>
        <w:rPr>
          <w:rFonts w:ascii="宋体" w:hAnsi="宋体"/>
          <w:sz w:val="24"/>
        </w:rPr>
        <w:t xml:space="preserve">、我方将与本投标函一起，提交人民币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作为投标保证金。</w:t>
      </w:r>
    </w:p>
    <w:p>
      <w:pPr>
        <w:pStyle w:val="15"/>
        <w:adjustRightInd w:val="0"/>
        <w:snapToGrid w:val="0"/>
        <w:spacing w:after="0" w:line="500" w:lineRule="exact"/>
        <w:ind w:left="0" w:leftChars="0" w:right="15" w:rightChars="7" w:firstLine="420" w:firstLineChars="175"/>
        <w:rPr>
          <w:rFonts w:ascii="宋体" w:hAnsi="宋体"/>
          <w:sz w:val="24"/>
        </w:rPr>
      </w:pPr>
      <w:r>
        <w:rPr>
          <w:rFonts w:ascii="宋体" w:hAnsi="宋体"/>
          <w:sz w:val="24"/>
        </w:rPr>
        <w:t>7</w:t>
      </w:r>
      <w:r>
        <w:rPr>
          <w:rFonts w:hint="eastAsia" w:ascii="宋体" w:hAnsi="宋体"/>
          <w:sz w:val="24"/>
        </w:rPr>
        <w:t>、其他补充说明：</w:t>
      </w:r>
      <w:r>
        <w:rPr>
          <w:rFonts w:hint="eastAsia" w:ascii="宋体" w:hAnsi="宋体"/>
          <w:sz w:val="24"/>
          <w:u w:val="single"/>
        </w:rPr>
        <w:t xml:space="preserve">             {补充说明事项}         </w:t>
      </w:r>
    </w:p>
    <w:p>
      <w:pPr>
        <w:adjustRightInd w:val="0"/>
        <w:snapToGrid w:val="0"/>
        <w:spacing w:line="480" w:lineRule="exact"/>
        <w:ind w:right="15" w:rightChars="7"/>
        <w:rPr>
          <w:rFonts w:ascii="宋体" w:hAnsi="宋体"/>
          <w:sz w:val="24"/>
        </w:rPr>
      </w:pPr>
    </w:p>
    <w:p>
      <w:pPr>
        <w:adjustRightInd w:val="0"/>
        <w:snapToGrid w:val="0"/>
        <w:spacing w:line="580" w:lineRule="exact"/>
        <w:ind w:right="15" w:rightChars="7"/>
        <w:rPr>
          <w:rFonts w:ascii="宋体" w:hAnsi="宋体"/>
          <w:sz w:val="24"/>
          <w:u w:val="single"/>
        </w:rPr>
      </w:pPr>
      <w:r>
        <w:rPr>
          <w:rFonts w:hint="eastAsia" w:ascii="宋体" w:hAnsi="宋体"/>
          <w:sz w:val="24"/>
        </w:rPr>
        <w:t>投</w:t>
      </w:r>
      <w:r>
        <w:rPr>
          <w:rFonts w:ascii="宋体" w:hAnsi="宋体"/>
          <w:sz w:val="24"/>
        </w:rPr>
        <w:t xml:space="preserve"> 标 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16"/>
        <w:adjustRightInd w:val="0"/>
        <w:snapToGrid w:val="0"/>
        <w:spacing w:line="580" w:lineRule="exact"/>
        <w:ind w:left="121" w:leftChars="11" w:right="15" w:rightChars="7"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r>
        <w:rPr>
          <w:rFonts w:hint="eastAsia" w:ascii="宋体" w:hAnsi="宋体"/>
          <w:bCs/>
          <w:sz w:val="28"/>
          <w:szCs w:val="28"/>
        </w:rPr>
        <w:t>附件三</w:t>
      </w:r>
    </w:p>
    <w:p>
      <w:pPr>
        <w:pStyle w:val="4"/>
        <w:widowControl/>
        <w:numPr>
          <w:ilvl w:val="2"/>
          <w:numId w:val="3"/>
        </w:numPr>
        <w:tabs>
          <w:tab w:val="left" w:pos="0"/>
        </w:tabs>
        <w:spacing w:before="62" w:beforeLines="20" w:after="62" w:afterLines="20" w:line="540" w:lineRule="exact"/>
        <w:ind w:right="15" w:rightChars="7"/>
        <w:jc w:val="center"/>
        <w:rPr>
          <w:rFonts w:ascii="宋体" w:hAnsi="宋体"/>
        </w:rPr>
      </w:pPr>
      <w:r>
        <w:rPr>
          <w:rFonts w:hint="eastAsia" w:ascii="宋体" w:hAnsi="宋体"/>
        </w:rPr>
        <w:t>投标报价汇总表</w:t>
      </w:r>
    </w:p>
    <w:p>
      <w:pPr>
        <w:adjustRightInd w:val="0"/>
        <w:snapToGrid w:val="0"/>
        <w:spacing w:line="540" w:lineRule="exact"/>
        <w:ind w:right="15" w:rightChars="7"/>
        <w:rPr>
          <w:rFonts w:ascii="宋体" w:hAnsi="宋体"/>
          <w:bCs/>
          <w:sz w:val="24"/>
        </w:rPr>
      </w:pPr>
      <w:r>
        <w:rPr>
          <w:rFonts w:hint="eastAsia" w:ascii="宋体" w:hAnsi="宋体"/>
          <w:bCs/>
          <w:sz w:val="24"/>
        </w:rPr>
        <w:t>项目名称：                                                     年  月  日</w:t>
      </w:r>
    </w:p>
    <w:tbl>
      <w:tblPr>
        <w:tblStyle w:val="31"/>
        <w:tblW w:w="9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60" w:hRule="atLeast"/>
          <w:jc w:val="center"/>
        </w:trPr>
        <w:tc>
          <w:tcPr>
            <w:tcW w:w="1803" w:type="dxa"/>
            <w:vAlign w:val="center"/>
          </w:tcPr>
          <w:p>
            <w:pPr>
              <w:adjustRightInd w:val="0"/>
              <w:snapToGrid w:val="0"/>
              <w:ind w:right="15" w:rightChars="7"/>
              <w:jc w:val="center"/>
              <w:rPr>
                <w:rFonts w:ascii="宋体" w:hAnsi="宋体"/>
                <w:bCs/>
                <w:sz w:val="18"/>
                <w:szCs w:val="18"/>
              </w:rPr>
            </w:pPr>
            <w:r>
              <w:rPr>
                <w:rFonts w:hint="eastAsia" w:ascii="宋体" w:hAnsi="宋体"/>
                <w:bCs/>
                <w:sz w:val="18"/>
                <w:szCs w:val="18"/>
              </w:rPr>
              <w:t>投标单位</w:t>
            </w:r>
          </w:p>
        </w:tc>
        <w:tc>
          <w:tcPr>
            <w:tcW w:w="3757" w:type="dxa"/>
            <w:vAlign w:val="center"/>
          </w:tcPr>
          <w:p>
            <w:pPr>
              <w:adjustRightInd w:val="0"/>
              <w:snapToGrid w:val="0"/>
              <w:ind w:right="15" w:rightChars="7"/>
              <w:jc w:val="center"/>
              <w:rPr>
                <w:rFonts w:ascii="宋体" w:hAnsi="宋体"/>
                <w:bCs/>
                <w:sz w:val="18"/>
                <w:szCs w:val="18"/>
              </w:rPr>
            </w:pPr>
          </w:p>
        </w:tc>
        <w:tc>
          <w:tcPr>
            <w:tcW w:w="1274" w:type="dxa"/>
            <w:vAlign w:val="center"/>
          </w:tcPr>
          <w:p>
            <w:pPr>
              <w:adjustRightInd w:val="0"/>
              <w:snapToGrid w:val="0"/>
              <w:ind w:right="15" w:rightChars="7"/>
              <w:jc w:val="center"/>
              <w:rPr>
                <w:rFonts w:ascii="宋体" w:hAnsi="宋体"/>
                <w:bCs/>
                <w:sz w:val="18"/>
                <w:szCs w:val="18"/>
              </w:rPr>
            </w:pPr>
            <w:r>
              <w:rPr>
                <w:rFonts w:hint="eastAsia" w:ascii="宋体" w:hAnsi="宋体"/>
                <w:bCs/>
                <w:sz w:val="18"/>
                <w:szCs w:val="18"/>
              </w:rPr>
              <w:t>资质等级</w:t>
            </w:r>
          </w:p>
        </w:tc>
        <w:tc>
          <w:tcPr>
            <w:tcW w:w="2209" w:type="dxa"/>
            <w:vAlign w:val="center"/>
          </w:tcPr>
          <w:p>
            <w:pPr>
              <w:adjustRightInd w:val="0"/>
              <w:snapToGrid w:val="0"/>
              <w:ind w:right="15" w:rightChars="7"/>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60" w:hRule="atLeast"/>
          <w:jc w:val="center"/>
        </w:trPr>
        <w:tc>
          <w:tcPr>
            <w:tcW w:w="5560" w:type="dxa"/>
            <w:gridSpan w:val="2"/>
            <w:vAlign w:val="center"/>
          </w:tcPr>
          <w:p>
            <w:pPr>
              <w:adjustRightInd w:val="0"/>
              <w:snapToGrid w:val="0"/>
              <w:ind w:right="15" w:rightChars="7"/>
              <w:rPr>
                <w:rFonts w:ascii="宋体" w:hAnsi="宋体"/>
                <w:bCs/>
                <w:sz w:val="18"/>
                <w:szCs w:val="18"/>
              </w:rPr>
            </w:pPr>
            <w:r>
              <w:rPr>
                <w:rFonts w:hint="eastAsia" w:ascii="宋体" w:hAnsi="宋体"/>
                <w:bCs/>
                <w:sz w:val="18"/>
                <w:szCs w:val="18"/>
              </w:rPr>
              <w:t>投标报价(大写)：</w:t>
            </w:r>
          </w:p>
        </w:tc>
        <w:tc>
          <w:tcPr>
            <w:tcW w:w="3483" w:type="dxa"/>
            <w:gridSpan w:val="2"/>
            <w:vAlign w:val="center"/>
          </w:tcPr>
          <w:p>
            <w:pPr>
              <w:adjustRightInd w:val="0"/>
              <w:snapToGrid w:val="0"/>
              <w:ind w:right="15" w:rightChars="7"/>
              <w:rPr>
                <w:rFonts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8" w:hRule="atLeast"/>
          <w:jc w:val="center"/>
        </w:trPr>
        <w:tc>
          <w:tcPr>
            <w:tcW w:w="9043" w:type="dxa"/>
            <w:gridSpan w:val="4"/>
            <w:vAlign w:val="center"/>
          </w:tcPr>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firstLine="120"/>
              <w:rPr>
                <w:rFonts w:ascii="宋体" w:hAnsi="宋体"/>
                <w:bCs/>
                <w:sz w:val="18"/>
                <w:szCs w:val="18"/>
              </w:rPr>
            </w:pPr>
            <w:r>
              <w:rPr>
                <w:rFonts w:hint="eastAsia" w:ascii="宋体" w:hAnsi="宋体"/>
                <w:bCs/>
                <w:sz w:val="18"/>
                <w:szCs w:val="18"/>
              </w:rPr>
              <w:t>投标单位（盖章）                          法人代表（签字或盖章）</w:t>
            </w:r>
          </w:p>
          <w:p>
            <w:pPr>
              <w:adjustRightInd w:val="0"/>
              <w:snapToGrid w:val="0"/>
              <w:ind w:right="15" w:rightChars="7"/>
              <w:rPr>
                <w:rFonts w:ascii="宋体" w:hAnsi="宋体"/>
                <w:bCs/>
                <w:sz w:val="18"/>
                <w:szCs w:val="18"/>
              </w:rPr>
            </w:pPr>
          </w:p>
        </w:tc>
      </w:tr>
    </w:tbl>
    <w:p>
      <w:pPr>
        <w:pStyle w:val="13"/>
        <w:spacing w:line="360" w:lineRule="auto"/>
        <w:ind w:firstLine="0"/>
        <w:rPr>
          <w:rFonts w:ascii="宋体" w:hAnsi="宋体"/>
          <w:sz w:val="24"/>
        </w:rPr>
      </w:pPr>
    </w:p>
    <w:p>
      <w:pPr>
        <w:pStyle w:val="13"/>
        <w:spacing w:line="360" w:lineRule="auto"/>
        <w:ind w:firstLine="0"/>
        <w:rPr>
          <w:rFonts w:ascii="宋体" w:hAnsi="宋体"/>
          <w:sz w:val="24"/>
        </w:rPr>
      </w:pPr>
      <w:r>
        <w:rPr>
          <w:rFonts w:hint="eastAsia" w:ascii="宋体" w:hAnsi="宋体"/>
          <w:sz w:val="24"/>
        </w:rPr>
        <w:t xml:space="preserve">1.8.2  </w:t>
      </w:r>
      <w:r>
        <w:rPr>
          <w:rFonts w:ascii="宋体" w:hAnsi="宋体"/>
          <w:sz w:val="24"/>
        </w:rPr>
        <w:t>投标人应提交证明其实施服务的合格性符合</w:t>
      </w:r>
      <w:r>
        <w:rPr>
          <w:rFonts w:hint="eastAsia" w:ascii="宋体" w:hAnsi="宋体"/>
          <w:sz w:val="24"/>
        </w:rPr>
        <w:t>招标</w:t>
      </w:r>
      <w:r>
        <w:rPr>
          <w:rFonts w:ascii="宋体" w:hAnsi="宋体"/>
          <w:sz w:val="24"/>
        </w:rPr>
        <w:t>文件规定的文件，并作为其应答文件的一部分。它可以是文字资料、图纸和数据，实施服务包括：项目启动、实施方案、实施流程、相关成果的提交及培训等，以及技术支持的描述。</w:t>
      </w:r>
    </w:p>
    <w:p>
      <w:pPr>
        <w:pStyle w:val="13"/>
        <w:spacing w:line="360" w:lineRule="auto"/>
        <w:ind w:firstLine="0"/>
        <w:rPr>
          <w:rFonts w:ascii="宋体" w:hAnsi="宋体"/>
          <w:sz w:val="24"/>
          <w:szCs w:val="24"/>
        </w:rPr>
      </w:pPr>
      <w:r>
        <w:rPr>
          <w:rFonts w:hint="eastAsia" w:ascii="宋体" w:hAnsi="宋体"/>
          <w:sz w:val="24"/>
          <w:szCs w:val="24"/>
        </w:rPr>
        <w:t xml:space="preserve">1.8.3  </w:t>
      </w:r>
      <w:r>
        <w:rPr>
          <w:rFonts w:ascii="宋体" w:hAnsi="宋体"/>
          <w:sz w:val="24"/>
          <w:szCs w:val="24"/>
        </w:rPr>
        <w:t>投标人应按</w:t>
      </w:r>
      <w:r>
        <w:rPr>
          <w:rFonts w:hint="eastAsia" w:ascii="宋体" w:hAnsi="宋体"/>
          <w:sz w:val="24"/>
          <w:szCs w:val="24"/>
        </w:rPr>
        <w:t>招标</w:t>
      </w:r>
      <w:r>
        <w:rPr>
          <w:rFonts w:ascii="宋体" w:hAnsi="宋体"/>
          <w:sz w:val="24"/>
          <w:szCs w:val="24"/>
        </w:rPr>
        <w:t>文件中规定的报价表格式对本次招标范围内实施服务、维护与支持进行报价。该报价为完成本项目提供合格服务所需要的全部费用，包括</w:t>
      </w:r>
      <w:r>
        <w:rPr>
          <w:rFonts w:hint="eastAsia" w:ascii="宋体" w:hAnsi="宋体"/>
          <w:sz w:val="24"/>
          <w:szCs w:val="24"/>
        </w:rPr>
        <w:t>测评费、</w:t>
      </w:r>
      <w:r>
        <w:rPr>
          <w:rFonts w:ascii="宋体" w:hAnsi="宋体"/>
          <w:sz w:val="24"/>
          <w:szCs w:val="24"/>
        </w:rPr>
        <w:t>服务费、资料费、管理费、利润、税收等，投标人应填写报价表和各种分项报价表。若单价和总价有差异，则以单价为准，并对总价进行修正；若</w:t>
      </w:r>
      <w:r>
        <w:rPr>
          <w:rFonts w:hint="eastAsia" w:ascii="宋体" w:hAnsi="宋体"/>
          <w:sz w:val="24"/>
          <w:szCs w:val="24"/>
        </w:rPr>
        <w:t>小写</w:t>
      </w:r>
      <w:r>
        <w:rPr>
          <w:rFonts w:ascii="宋体" w:hAnsi="宋体"/>
          <w:sz w:val="24"/>
          <w:szCs w:val="24"/>
        </w:rPr>
        <w:t>和</w:t>
      </w:r>
      <w:r>
        <w:rPr>
          <w:rFonts w:hint="eastAsia" w:ascii="宋体" w:hAnsi="宋体"/>
          <w:sz w:val="24"/>
          <w:szCs w:val="24"/>
        </w:rPr>
        <w:t>大写</w:t>
      </w:r>
      <w:r>
        <w:rPr>
          <w:rFonts w:ascii="宋体" w:hAnsi="宋体"/>
          <w:sz w:val="24"/>
          <w:szCs w:val="24"/>
        </w:rPr>
        <w:t>表示的金额之间有差异，则以</w:t>
      </w:r>
      <w:r>
        <w:rPr>
          <w:rFonts w:hint="eastAsia" w:ascii="宋体" w:hAnsi="宋体"/>
          <w:sz w:val="24"/>
          <w:szCs w:val="24"/>
        </w:rPr>
        <w:t>大写</w:t>
      </w:r>
      <w:r>
        <w:rPr>
          <w:rFonts w:ascii="宋体" w:hAnsi="宋体"/>
          <w:sz w:val="24"/>
          <w:szCs w:val="24"/>
        </w:rPr>
        <w:t>金额为准，并对</w:t>
      </w:r>
      <w:r>
        <w:rPr>
          <w:rFonts w:hint="eastAsia" w:ascii="宋体" w:hAnsi="宋体"/>
          <w:sz w:val="24"/>
          <w:szCs w:val="24"/>
        </w:rPr>
        <w:t>小写金额</w:t>
      </w:r>
      <w:r>
        <w:rPr>
          <w:rFonts w:ascii="宋体" w:hAnsi="宋体"/>
          <w:sz w:val="24"/>
          <w:szCs w:val="24"/>
        </w:rPr>
        <w:t>作相应的修正。</w:t>
      </w:r>
    </w:p>
    <w:p>
      <w:pPr>
        <w:pStyle w:val="13"/>
        <w:spacing w:line="360" w:lineRule="auto"/>
        <w:ind w:firstLine="0"/>
        <w:rPr>
          <w:rFonts w:ascii="宋体" w:hAnsi="宋体"/>
          <w:sz w:val="24"/>
          <w:szCs w:val="24"/>
        </w:rPr>
      </w:pPr>
      <w:r>
        <w:rPr>
          <w:rFonts w:hint="eastAsia" w:ascii="宋体" w:hAnsi="宋体"/>
          <w:sz w:val="24"/>
          <w:szCs w:val="24"/>
        </w:rPr>
        <w:t xml:space="preserve">1.8.4  </w:t>
      </w:r>
      <w:r>
        <w:rPr>
          <w:rFonts w:ascii="宋体" w:hAnsi="宋体"/>
          <w:sz w:val="24"/>
          <w:szCs w:val="24"/>
        </w:rPr>
        <w:t>本项目报价为固定价格报价，投标人应充分考虑服务实施期间各类市场价格和政策性价格调整因素，确定价格风险计入总报价，今后不作调整。按可调整价格报价的应答文件将被拒绝。</w:t>
      </w:r>
    </w:p>
    <w:p>
      <w:pPr>
        <w:pStyle w:val="13"/>
        <w:spacing w:line="360" w:lineRule="auto"/>
        <w:ind w:firstLine="0"/>
        <w:rPr>
          <w:rFonts w:ascii="宋体" w:hAnsi="宋体"/>
          <w:bCs/>
          <w:kern w:val="0"/>
          <w:sz w:val="24"/>
        </w:rPr>
      </w:pPr>
      <w:r>
        <w:rPr>
          <w:rFonts w:hint="eastAsia" w:ascii="宋体" w:hAnsi="宋体"/>
          <w:bCs/>
          <w:kern w:val="0"/>
          <w:sz w:val="24"/>
        </w:rPr>
        <w:t xml:space="preserve">1.8.5   </w:t>
      </w:r>
      <w:r>
        <w:rPr>
          <w:rFonts w:ascii="宋体" w:hAnsi="宋体"/>
          <w:bCs/>
          <w:kern w:val="0"/>
          <w:sz w:val="24"/>
        </w:rPr>
        <w:t>投标人应遵照国家有关规定，对本</w:t>
      </w:r>
      <w:r>
        <w:rPr>
          <w:rFonts w:hint="eastAsia" w:ascii="宋体" w:hAnsi="宋体"/>
          <w:bCs/>
          <w:kern w:val="0"/>
          <w:sz w:val="24"/>
        </w:rPr>
        <w:t>招标</w:t>
      </w:r>
      <w:r>
        <w:rPr>
          <w:rFonts w:ascii="宋体" w:hAnsi="宋体"/>
          <w:bCs/>
          <w:kern w:val="0"/>
          <w:sz w:val="24"/>
        </w:rPr>
        <w:t>文件的内容进行报价。本项目所发生的一切费用均以人民币结算及支付；投标人应按规定向政府有关纳税机交纳本合同中所涉及的税费。</w:t>
      </w:r>
    </w:p>
    <w:p>
      <w:pPr>
        <w:pStyle w:val="13"/>
        <w:spacing w:line="360" w:lineRule="auto"/>
        <w:ind w:firstLine="0"/>
        <w:rPr>
          <w:rFonts w:ascii="宋体" w:hAnsi="宋体"/>
          <w:sz w:val="24"/>
          <w:szCs w:val="24"/>
        </w:rPr>
      </w:pPr>
      <w:r>
        <w:rPr>
          <w:rFonts w:hint="eastAsia" w:ascii="宋体" w:hAnsi="宋体"/>
          <w:sz w:val="24"/>
          <w:szCs w:val="24"/>
        </w:rPr>
        <w:t xml:space="preserve">1.8.6   </w:t>
      </w:r>
      <w:r>
        <w:rPr>
          <w:rFonts w:ascii="宋体" w:hAnsi="宋体"/>
          <w:sz w:val="24"/>
          <w:szCs w:val="24"/>
        </w:rPr>
        <w:t>提交工作进度计划及实施方案</w:t>
      </w:r>
    </w:p>
    <w:p>
      <w:pPr>
        <w:pStyle w:val="13"/>
        <w:spacing w:line="360" w:lineRule="auto"/>
        <w:ind w:firstLine="0"/>
        <w:rPr>
          <w:rFonts w:ascii="宋体" w:hAnsi="宋体"/>
          <w:sz w:val="24"/>
          <w:szCs w:val="24"/>
        </w:rPr>
      </w:pPr>
      <w:r>
        <w:rPr>
          <w:rFonts w:ascii="宋体" w:hAnsi="宋体"/>
          <w:sz w:val="24"/>
          <w:szCs w:val="24"/>
        </w:rPr>
        <w:t>为完成招标范围的工作，投标人应</w:t>
      </w:r>
      <w:r>
        <w:rPr>
          <w:rFonts w:hint="eastAsia" w:ascii="宋体" w:hAnsi="宋体"/>
          <w:sz w:val="24"/>
          <w:szCs w:val="24"/>
        </w:rPr>
        <w:t>根据招标人要求及安排</w:t>
      </w:r>
      <w:r>
        <w:rPr>
          <w:rFonts w:ascii="宋体" w:hAnsi="宋体"/>
          <w:sz w:val="24"/>
          <w:szCs w:val="24"/>
        </w:rPr>
        <w:t>实施进度计划</w:t>
      </w:r>
      <w:r>
        <w:rPr>
          <w:rFonts w:hint="eastAsia" w:ascii="宋体" w:hAnsi="宋体"/>
          <w:sz w:val="24"/>
          <w:szCs w:val="24"/>
        </w:rPr>
        <w:t>。</w:t>
      </w:r>
    </w:p>
    <w:p>
      <w:pPr>
        <w:pStyle w:val="13"/>
        <w:spacing w:line="360" w:lineRule="auto"/>
        <w:ind w:firstLine="0"/>
        <w:rPr>
          <w:rFonts w:ascii="宋体" w:hAnsi="宋体"/>
          <w:sz w:val="24"/>
          <w:szCs w:val="24"/>
        </w:rPr>
      </w:pPr>
      <w:r>
        <w:rPr>
          <w:rFonts w:hint="eastAsia" w:ascii="宋体" w:hAnsi="宋体"/>
          <w:sz w:val="24"/>
          <w:szCs w:val="24"/>
        </w:rPr>
        <w:t>1.8.7   应答文件的准备</w:t>
      </w:r>
    </w:p>
    <w:p>
      <w:pPr>
        <w:pStyle w:val="13"/>
        <w:spacing w:line="360" w:lineRule="auto"/>
        <w:ind w:left="210" w:leftChars="100" w:firstLine="0"/>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应答文件一式肆份</w:t>
      </w:r>
      <w:r>
        <w:rPr>
          <w:rFonts w:hint="eastAsia" w:ascii="宋体" w:hAnsi="宋体"/>
          <w:sz w:val="24"/>
          <w:szCs w:val="24"/>
        </w:rPr>
        <w:t>（正本壹</w:t>
      </w:r>
      <w:r>
        <w:rPr>
          <w:rFonts w:ascii="宋体" w:hAnsi="宋体"/>
          <w:sz w:val="24"/>
          <w:szCs w:val="24"/>
        </w:rPr>
        <w:t>份，副本</w:t>
      </w:r>
      <w:r>
        <w:rPr>
          <w:rFonts w:hint="eastAsia" w:ascii="宋体" w:hAnsi="宋体"/>
          <w:sz w:val="24"/>
          <w:szCs w:val="24"/>
        </w:rPr>
        <w:t>叁</w:t>
      </w:r>
      <w:r>
        <w:rPr>
          <w:rFonts w:ascii="宋体" w:hAnsi="宋体"/>
          <w:sz w:val="24"/>
          <w:szCs w:val="24"/>
        </w:rPr>
        <w:t>份）</w:t>
      </w:r>
      <w:r>
        <w:rPr>
          <w:rFonts w:hint="eastAsia" w:ascii="宋体" w:hAnsi="宋体"/>
          <w:sz w:val="24"/>
          <w:szCs w:val="24"/>
        </w:rPr>
        <w:t>。</w:t>
      </w:r>
    </w:p>
    <w:p>
      <w:pPr>
        <w:pStyle w:val="13"/>
        <w:spacing w:line="360" w:lineRule="auto"/>
        <w:ind w:left="210" w:leftChars="100" w:firstLine="0"/>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应答文件的正本必须打印</w:t>
      </w:r>
      <w:r>
        <w:rPr>
          <w:rFonts w:hint="eastAsia" w:ascii="宋体" w:hAnsi="宋体"/>
          <w:sz w:val="24"/>
          <w:szCs w:val="24"/>
        </w:rPr>
        <w:t>胶装</w:t>
      </w:r>
      <w:r>
        <w:rPr>
          <w:rFonts w:ascii="宋体" w:hAnsi="宋体"/>
          <w:sz w:val="24"/>
          <w:szCs w:val="24"/>
        </w:rPr>
        <w:t>，并由法人代表或经正式授权代表在文件上签字并在文件封面上加盖单位公章。投标</w:t>
      </w:r>
      <w:r>
        <w:rPr>
          <w:rFonts w:hint="eastAsia" w:ascii="宋体" w:hAnsi="宋体"/>
          <w:sz w:val="24"/>
          <w:szCs w:val="24"/>
        </w:rPr>
        <w:t>应答</w:t>
      </w:r>
      <w:r>
        <w:rPr>
          <w:rFonts w:ascii="宋体" w:hAnsi="宋体"/>
          <w:sz w:val="24"/>
          <w:szCs w:val="24"/>
        </w:rPr>
        <w:t>文件的副本</w:t>
      </w:r>
      <w:r>
        <w:rPr>
          <w:rFonts w:hint="eastAsia" w:ascii="宋体" w:hAnsi="宋体"/>
          <w:sz w:val="24"/>
          <w:szCs w:val="24"/>
        </w:rPr>
        <w:t>可</w:t>
      </w:r>
      <w:r>
        <w:rPr>
          <w:rFonts w:ascii="宋体" w:hAnsi="宋体"/>
          <w:sz w:val="24"/>
          <w:szCs w:val="24"/>
        </w:rPr>
        <w:t xml:space="preserve">采用正本的复印件。 </w:t>
      </w:r>
    </w:p>
    <w:p>
      <w:pPr>
        <w:pStyle w:val="13"/>
        <w:spacing w:line="360" w:lineRule="auto"/>
        <w:ind w:left="210" w:leftChars="100" w:firstLine="0"/>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应答文件的正本和副本，应包括有</w:t>
      </w:r>
      <w:r>
        <w:rPr>
          <w:rFonts w:hint="eastAsia" w:ascii="宋体" w:hAnsi="宋体"/>
          <w:sz w:val="24"/>
          <w:szCs w:val="24"/>
        </w:rPr>
        <w:t>招标</w:t>
      </w:r>
      <w:r>
        <w:rPr>
          <w:rFonts w:ascii="宋体" w:hAnsi="宋体"/>
          <w:sz w:val="24"/>
          <w:szCs w:val="24"/>
        </w:rPr>
        <w:t>文件规定的全部文件以及投标人认为必要的文件。</w:t>
      </w:r>
    </w:p>
    <w:p>
      <w:pPr>
        <w:pStyle w:val="13"/>
        <w:spacing w:line="360" w:lineRule="auto"/>
        <w:ind w:left="210" w:leftChars="100" w:firstLine="0"/>
        <w:rPr>
          <w:rFonts w:ascii="宋体" w:hAnsi="宋体"/>
          <w:sz w:val="24"/>
          <w:szCs w:val="24"/>
        </w:rPr>
      </w:pPr>
      <w:r>
        <w:rPr>
          <w:rFonts w:ascii="宋体" w:hAnsi="宋体"/>
          <w:sz w:val="24"/>
          <w:szCs w:val="24"/>
        </w:rPr>
        <w:t>4</w:t>
      </w:r>
      <w:r>
        <w:rPr>
          <w:rFonts w:hint="eastAsia" w:ascii="宋体" w:hAnsi="宋体"/>
          <w:sz w:val="24"/>
          <w:szCs w:val="24"/>
        </w:rPr>
        <w:t>）</w:t>
      </w:r>
      <w:r>
        <w:rPr>
          <w:rFonts w:ascii="宋体" w:hAnsi="宋体"/>
          <w:sz w:val="24"/>
          <w:szCs w:val="24"/>
        </w:rPr>
        <w:t>全套应答文件应无涂改和行间插字，除非这些删改是根据招标人的指示进行的，或者是投标人认为必须修改的。修改处应有投标人代表（法定代表人或授权代表人）签字或盖章。</w:t>
      </w:r>
    </w:p>
    <w:p>
      <w:pPr>
        <w:spacing w:after="156" w:afterLines="50" w:line="360" w:lineRule="auto"/>
        <w:ind w:left="142"/>
        <w:outlineLvl w:val="1"/>
        <w:rPr>
          <w:rFonts w:ascii="宋体" w:hAnsi="宋体"/>
          <w:b/>
          <w:sz w:val="24"/>
        </w:rPr>
      </w:pPr>
      <w:bookmarkStart w:id="12" w:name="_Toc215567879"/>
      <w:r>
        <w:rPr>
          <w:rFonts w:hint="eastAsia" w:ascii="宋体" w:hAnsi="宋体"/>
          <w:b/>
          <w:sz w:val="24"/>
        </w:rPr>
        <w:t xml:space="preserve">1.9 </w:t>
      </w:r>
      <w:bookmarkStart w:id="13" w:name="_Toc517076099"/>
      <w:r>
        <w:rPr>
          <w:rFonts w:ascii="宋体" w:hAnsi="宋体"/>
          <w:b/>
          <w:sz w:val="24"/>
        </w:rPr>
        <w:t>应答文件的密封和标记</w:t>
      </w:r>
      <w:bookmarkEnd w:id="12"/>
      <w:bookmarkEnd w:id="13"/>
    </w:p>
    <w:p>
      <w:pPr>
        <w:pStyle w:val="13"/>
        <w:spacing w:line="360" w:lineRule="auto"/>
        <w:ind w:firstLine="0"/>
        <w:rPr>
          <w:rFonts w:ascii="宋体" w:hAnsi="宋体"/>
          <w:sz w:val="24"/>
          <w:szCs w:val="24"/>
        </w:rPr>
      </w:pPr>
      <w:r>
        <w:rPr>
          <w:rFonts w:hint="eastAsia" w:ascii="宋体" w:hAnsi="宋体"/>
          <w:sz w:val="24"/>
          <w:szCs w:val="24"/>
        </w:rPr>
        <w:t xml:space="preserve">1.9.1  </w:t>
      </w:r>
      <w:r>
        <w:rPr>
          <w:rFonts w:ascii="宋体" w:hAnsi="宋体"/>
          <w:sz w:val="24"/>
          <w:szCs w:val="24"/>
        </w:rPr>
        <w:t>应答文件应密封包装在密封袋中，密封袋上应加盖投标单位公章</w:t>
      </w:r>
      <w:r>
        <w:rPr>
          <w:rFonts w:hint="eastAsia" w:ascii="宋体" w:hAnsi="宋体"/>
          <w:sz w:val="24"/>
          <w:szCs w:val="24"/>
        </w:rPr>
        <w:t>。</w:t>
      </w:r>
    </w:p>
    <w:p>
      <w:pPr>
        <w:pStyle w:val="13"/>
        <w:spacing w:line="360" w:lineRule="auto"/>
        <w:ind w:firstLine="0"/>
        <w:rPr>
          <w:rFonts w:ascii="宋体" w:hAnsi="宋体"/>
          <w:sz w:val="24"/>
          <w:szCs w:val="24"/>
        </w:rPr>
      </w:pPr>
      <w:r>
        <w:rPr>
          <w:rFonts w:hint="eastAsia" w:ascii="宋体" w:hAnsi="宋体"/>
          <w:sz w:val="24"/>
          <w:szCs w:val="24"/>
        </w:rPr>
        <w:t xml:space="preserve">1.9.2  </w:t>
      </w:r>
      <w:r>
        <w:rPr>
          <w:rFonts w:ascii="宋体" w:hAnsi="宋体"/>
          <w:sz w:val="24"/>
          <w:szCs w:val="24"/>
        </w:rPr>
        <w:t>每一密封袋上相应标明袋内文件名称及正本或副本，并在袋上注明：</w:t>
      </w:r>
    </w:p>
    <w:p>
      <w:pPr>
        <w:tabs>
          <w:tab w:val="left" w:pos="5805"/>
        </w:tabs>
        <w:spacing w:line="360" w:lineRule="auto"/>
        <w:ind w:firstLine="420"/>
        <w:rPr>
          <w:rFonts w:ascii="宋体" w:hAnsi="宋体"/>
          <w:sz w:val="24"/>
        </w:rPr>
      </w:pPr>
      <w:r>
        <w:rPr>
          <w:rFonts w:ascii="宋体" w:hAnsi="宋体"/>
          <w:sz w:val="24"/>
        </w:rPr>
        <w:t>投标单位名称：</w:t>
      </w:r>
      <w:r>
        <w:rPr>
          <w:rFonts w:ascii="宋体" w:hAnsi="宋体"/>
          <w:sz w:val="24"/>
          <w:u w:val="single"/>
        </w:rPr>
        <w:t xml:space="preserve">         </w:t>
      </w:r>
      <w:r>
        <w:rPr>
          <w:rFonts w:ascii="宋体" w:hAnsi="宋体"/>
          <w:sz w:val="24"/>
        </w:rPr>
        <w:t>地址：</w:t>
      </w:r>
      <w:r>
        <w:rPr>
          <w:rFonts w:ascii="宋体" w:hAnsi="宋体"/>
          <w:sz w:val="24"/>
          <w:u w:val="single"/>
        </w:rPr>
        <w:t xml:space="preserve">      </w:t>
      </w:r>
      <w:r>
        <w:rPr>
          <w:rFonts w:ascii="宋体" w:hAnsi="宋体"/>
          <w:sz w:val="24"/>
        </w:rPr>
        <w:t>联系电话：</w:t>
      </w:r>
      <w:r>
        <w:rPr>
          <w:rFonts w:ascii="宋体" w:hAnsi="宋体"/>
          <w:sz w:val="24"/>
          <w:u w:val="single"/>
        </w:rPr>
        <w:t xml:space="preserve">       </w:t>
      </w:r>
      <w:r>
        <w:rPr>
          <w:rFonts w:ascii="宋体" w:hAnsi="宋体"/>
          <w:sz w:val="24"/>
        </w:rPr>
        <w:t xml:space="preserve">联系人： </w:t>
      </w:r>
      <w:r>
        <w:rPr>
          <w:rFonts w:ascii="宋体" w:hAnsi="宋体"/>
          <w:sz w:val="24"/>
          <w:u w:val="single"/>
        </w:rPr>
        <w:t xml:space="preserve">                         </w:t>
      </w:r>
    </w:p>
    <w:p>
      <w:pPr>
        <w:spacing w:after="156" w:afterLines="50" w:line="360" w:lineRule="auto"/>
        <w:ind w:left="142"/>
        <w:outlineLvl w:val="1"/>
        <w:rPr>
          <w:rFonts w:ascii="宋体" w:hAnsi="宋体"/>
          <w:b/>
          <w:sz w:val="24"/>
        </w:rPr>
      </w:pPr>
      <w:bookmarkStart w:id="14" w:name="_Toc211192934"/>
      <w:bookmarkStart w:id="15" w:name="_Toc215567881"/>
      <w:r>
        <w:rPr>
          <w:rFonts w:hint="eastAsia" w:ascii="宋体" w:hAnsi="宋体"/>
          <w:b/>
          <w:sz w:val="24"/>
        </w:rPr>
        <w:t xml:space="preserve">2.1 </w:t>
      </w:r>
      <w:bookmarkStart w:id="16" w:name="_Toc517076100"/>
      <w:r>
        <w:rPr>
          <w:rFonts w:ascii="宋体" w:hAnsi="宋体"/>
          <w:b/>
          <w:sz w:val="24"/>
        </w:rPr>
        <w:t>投标纪律</w:t>
      </w:r>
      <w:bookmarkEnd w:id="14"/>
      <w:bookmarkEnd w:id="15"/>
      <w:bookmarkEnd w:id="16"/>
    </w:p>
    <w:p>
      <w:pPr>
        <w:pStyle w:val="13"/>
        <w:spacing w:line="360" w:lineRule="auto"/>
        <w:ind w:firstLine="0"/>
        <w:rPr>
          <w:rFonts w:ascii="宋体" w:hAnsi="宋体"/>
          <w:sz w:val="24"/>
          <w:szCs w:val="24"/>
        </w:rPr>
      </w:pPr>
      <w:r>
        <w:rPr>
          <w:rFonts w:hint="eastAsia" w:ascii="宋体" w:hAnsi="宋体"/>
          <w:sz w:val="24"/>
          <w:szCs w:val="24"/>
        </w:rPr>
        <w:t xml:space="preserve">2.1.1  </w:t>
      </w:r>
      <w:r>
        <w:rPr>
          <w:rFonts w:ascii="宋体" w:hAnsi="宋体"/>
          <w:sz w:val="24"/>
          <w:szCs w:val="24"/>
        </w:rPr>
        <w:t>投标人申报的关于资质、业绩等的文件和材料必须真实准确，不得弄虚作假。</w:t>
      </w:r>
    </w:p>
    <w:p>
      <w:pPr>
        <w:pStyle w:val="13"/>
        <w:spacing w:line="360" w:lineRule="auto"/>
        <w:ind w:firstLine="0"/>
        <w:rPr>
          <w:rFonts w:ascii="宋体" w:hAnsi="宋体"/>
          <w:sz w:val="24"/>
          <w:szCs w:val="24"/>
        </w:rPr>
      </w:pPr>
      <w:r>
        <w:rPr>
          <w:rFonts w:hint="eastAsia" w:ascii="宋体" w:hAnsi="宋体"/>
          <w:sz w:val="24"/>
          <w:szCs w:val="24"/>
        </w:rPr>
        <w:t xml:space="preserve">2.1.2  </w:t>
      </w:r>
      <w:r>
        <w:rPr>
          <w:rFonts w:ascii="宋体" w:hAnsi="宋体"/>
          <w:sz w:val="24"/>
          <w:szCs w:val="24"/>
        </w:rPr>
        <w:t>投标人不得串通作弊，哄抬标价，致使定标困难或无法定标。</w:t>
      </w:r>
    </w:p>
    <w:p>
      <w:pPr>
        <w:pStyle w:val="13"/>
        <w:spacing w:line="360" w:lineRule="auto"/>
        <w:ind w:firstLine="0"/>
        <w:rPr>
          <w:rFonts w:ascii="宋体" w:hAnsi="宋体"/>
          <w:sz w:val="24"/>
          <w:szCs w:val="24"/>
        </w:rPr>
      </w:pPr>
      <w:r>
        <w:rPr>
          <w:rFonts w:hint="eastAsia" w:ascii="宋体" w:hAnsi="宋体"/>
          <w:sz w:val="24"/>
          <w:szCs w:val="24"/>
        </w:rPr>
        <w:t xml:space="preserve">2.1.3  </w:t>
      </w:r>
      <w:r>
        <w:rPr>
          <w:rFonts w:ascii="宋体" w:hAnsi="宋体"/>
          <w:sz w:val="24"/>
          <w:szCs w:val="24"/>
        </w:rPr>
        <w:t>投标人不得采用不正当手段妨碍、排挤其它投标人，破坏公平竞争。</w:t>
      </w:r>
    </w:p>
    <w:p>
      <w:pPr>
        <w:pStyle w:val="13"/>
        <w:spacing w:line="360" w:lineRule="auto"/>
        <w:ind w:firstLine="0"/>
        <w:rPr>
          <w:rFonts w:ascii="宋体" w:hAnsi="宋体"/>
          <w:sz w:val="24"/>
          <w:szCs w:val="24"/>
        </w:rPr>
      </w:pPr>
      <w:r>
        <w:rPr>
          <w:rFonts w:hint="eastAsia" w:ascii="宋体" w:hAnsi="宋体"/>
          <w:sz w:val="24"/>
          <w:szCs w:val="24"/>
        </w:rPr>
        <w:t xml:space="preserve">2.1.4  </w:t>
      </w:r>
      <w:r>
        <w:rPr>
          <w:rFonts w:ascii="宋体" w:hAnsi="宋体"/>
          <w:sz w:val="24"/>
          <w:szCs w:val="24"/>
        </w:rPr>
        <w:t>投标人不得打听和搜集评标机密，不得以任何形式干扰评标或授标工作。</w:t>
      </w:r>
    </w:p>
    <w:p>
      <w:pPr>
        <w:pStyle w:val="13"/>
        <w:spacing w:line="360" w:lineRule="auto"/>
        <w:ind w:firstLine="0"/>
        <w:rPr>
          <w:rFonts w:ascii="宋体" w:hAnsi="宋体"/>
          <w:sz w:val="24"/>
          <w:szCs w:val="24"/>
        </w:rPr>
      </w:pPr>
      <w:r>
        <w:rPr>
          <w:rFonts w:hint="eastAsia" w:ascii="宋体" w:hAnsi="宋体"/>
          <w:sz w:val="24"/>
          <w:szCs w:val="24"/>
        </w:rPr>
        <w:t xml:space="preserve">2.1.5  </w:t>
      </w:r>
      <w:r>
        <w:rPr>
          <w:rFonts w:ascii="宋体" w:hAnsi="宋体"/>
          <w:sz w:val="24"/>
          <w:szCs w:val="24"/>
        </w:rPr>
        <w:t>投标人若违反上述要求，其投标将被废除。</w:t>
      </w:r>
    </w:p>
    <w:p>
      <w:pPr>
        <w:pStyle w:val="13"/>
        <w:spacing w:line="360" w:lineRule="auto"/>
        <w:ind w:firstLine="0"/>
        <w:rPr>
          <w:rFonts w:ascii="宋体" w:hAnsi="宋体"/>
          <w:sz w:val="24"/>
          <w:szCs w:val="24"/>
        </w:rPr>
      </w:pPr>
      <w:r>
        <w:rPr>
          <w:rFonts w:hint="eastAsia" w:ascii="宋体" w:hAnsi="宋体"/>
          <w:sz w:val="24"/>
          <w:szCs w:val="24"/>
        </w:rPr>
        <w:t xml:space="preserve">2.1.6  </w:t>
      </w:r>
      <w:r>
        <w:rPr>
          <w:rFonts w:ascii="宋体" w:hAnsi="宋体"/>
          <w:sz w:val="24"/>
          <w:szCs w:val="24"/>
        </w:rPr>
        <w:t>投标人应仔细阅读本</w:t>
      </w:r>
      <w:r>
        <w:rPr>
          <w:rFonts w:hint="eastAsia" w:ascii="宋体" w:hAnsi="宋体"/>
          <w:sz w:val="24"/>
          <w:szCs w:val="24"/>
        </w:rPr>
        <w:t>招标</w:t>
      </w:r>
      <w:r>
        <w:rPr>
          <w:rFonts w:ascii="宋体" w:hAnsi="宋体"/>
          <w:sz w:val="24"/>
          <w:szCs w:val="24"/>
        </w:rPr>
        <w:t>文件，严格按照本</w:t>
      </w:r>
      <w:r>
        <w:rPr>
          <w:rFonts w:hint="eastAsia" w:ascii="宋体" w:hAnsi="宋体"/>
          <w:sz w:val="24"/>
          <w:szCs w:val="24"/>
        </w:rPr>
        <w:t>招标</w:t>
      </w:r>
      <w:r>
        <w:rPr>
          <w:rFonts w:ascii="宋体" w:hAnsi="宋体"/>
          <w:sz w:val="24"/>
          <w:szCs w:val="24"/>
        </w:rPr>
        <w:t>文件的内容和要求编制应答文件</w:t>
      </w:r>
      <w:r>
        <w:rPr>
          <w:rFonts w:hint="eastAsia" w:ascii="宋体" w:hAnsi="宋体"/>
          <w:sz w:val="24"/>
          <w:szCs w:val="24"/>
        </w:rPr>
        <w:t>，</w:t>
      </w:r>
      <w:r>
        <w:rPr>
          <w:rFonts w:ascii="宋体" w:hAnsi="宋体"/>
          <w:sz w:val="24"/>
          <w:szCs w:val="24"/>
        </w:rPr>
        <w:t>并承担应答文件编制和递交过程中的一切费用和风险。</w:t>
      </w:r>
    </w:p>
    <w:p>
      <w:pPr>
        <w:spacing w:after="156" w:afterLines="50" w:line="360" w:lineRule="auto"/>
        <w:ind w:left="142"/>
        <w:outlineLvl w:val="1"/>
        <w:rPr>
          <w:rFonts w:ascii="宋体" w:hAnsi="宋体"/>
          <w:b/>
          <w:sz w:val="24"/>
        </w:rPr>
      </w:pPr>
      <w:bookmarkStart w:id="17" w:name="_Toc215567882"/>
      <w:r>
        <w:rPr>
          <w:rFonts w:hint="eastAsia" w:ascii="宋体" w:hAnsi="宋体"/>
          <w:b/>
          <w:sz w:val="24"/>
        </w:rPr>
        <w:t xml:space="preserve">2.2 </w:t>
      </w:r>
      <w:bookmarkStart w:id="18" w:name="_Toc517076101"/>
      <w:r>
        <w:rPr>
          <w:rFonts w:hint="eastAsia" w:ascii="宋体" w:hAnsi="宋体"/>
          <w:b/>
          <w:sz w:val="24"/>
        </w:rPr>
        <w:t>应答文件开封</w:t>
      </w:r>
      <w:bookmarkEnd w:id="17"/>
      <w:bookmarkEnd w:id="18"/>
    </w:p>
    <w:p>
      <w:pPr>
        <w:spacing w:line="360" w:lineRule="auto"/>
        <w:rPr>
          <w:rFonts w:ascii="宋体" w:hAnsi="宋体"/>
          <w:sz w:val="24"/>
        </w:rPr>
      </w:pPr>
      <w:r>
        <w:rPr>
          <w:rFonts w:hint="eastAsia" w:ascii="宋体" w:hAnsi="宋体"/>
          <w:sz w:val="24"/>
        </w:rPr>
        <w:t>2.2.1   收到可“撤回”通知的应答文件将不予开封。</w:t>
      </w:r>
    </w:p>
    <w:p>
      <w:pPr>
        <w:spacing w:line="360" w:lineRule="auto"/>
        <w:rPr>
          <w:rFonts w:ascii="宋体" w:hAnsi="宋体"/>
          <w:sz w:val="24"/>
        </w:rPr>
      </w:pPr>
      <w:r>
        <w:rPr>
          <w:rFonts w:hint="eastAsia" w:ascii="宋体" w:hAnsi="宋体"/>
          <w:sz w:val="24"/>
        </w:rPr>
        <w:t>2.2.2   迟到的应答文件将原封退回投标人。</w:t>
      </w:r>
    </w:p>
    <w:p>
      <w:pPr>
        <w:spacing w:after="156" w:afterLines="50" w:line="360" w:lineRule="auto"/>
        <w:ind w:left="142"/>
        <w:outlineLvl w:val="1"/>
        <w:rPr>
          <w:rFonts w:ascii="宋体" w:hAnsi="宋体"/>
          <w:b/>
          <w:sz w:val="24"/>
        </w:rPr>
      </w:pPr>
      <w:bookmarkStart w:id="19" w:name="_Toc215567885"/>
      <w:bookmarkStart w:id="20" w:name="_Toc517076102"/>
      <w:r>
        <w:rPr>
          <w:rFonts w:hint="eastAsia" w:ascii="宋体" w:hAnsi="宋体"/>
          <w:b/>
          <w:sz w:val="24"/>
        </w:rPr>
        <w:t>2.3</w:t>
      </w:r>
      <w:r>
        <w:rPr>
          <w:rFonts w:ascii="宋体" w:hAnsi="宋体"/>
          <w:b/>
          <w:sz w:val="24"/>
        </w:rPr>
        <w:t>招标文件的评审</w:t>
      </w:r>
      <w:bookmarkEnd w:id="19"/>
      <w:bookmarkEnd w:id="20"/>
    </w:p>
    <w:p>
      <w:pPr>
        <w:spacing w:line="360" w:lineRule="auto"/>
        <w:rPr>
          <w:rFonts w:ascii="宋体" w:hAnsi="宋体"/>
          <w:sz w:val="24"/>
        </w:rPr>
      </w:pPr>
      <w:r>
        <w:rPr>
          <w:rFonts w:hint="eastAsia" w:ascii="宋体" w:hAnsi="宋体"/>
          <w:sz w:val="24"/>
        </w:rPr>
        <w:t xml:space="preserve">2.3.1   </w:t>
      </w:r>
      <w:r>
        <w:rPr>
          <w:rFonts w:ascii="宋体" w:hAnsi="宋体"/>
          <w:sz w:val="24"/>
        </w:rPr>
        <w:t>截止时间之后的应答文件将不被接收。未加盖法人章、应答文件未密封、候选投标人无授权，将视为无效应答文件。</w:t>
      </w:r>
    </w:p>
    <w:p>
      <w:pPr>
        <w:spacing w:line="360" w:lineRule="auto"/>
        <w:rPr>
          <w:rFonts w:ascii="宋体" w:hAnsi="宋体"/>
          <w:sz w:val="28"/>
          <w:szCs w:val="28"/>
        </w:rPr>
      </w:pPr>
      <w:r>
        <w:rPr>
          <w:rFonts w:hint="eastAsia" w:ascii="宋体" w:hAnsi="宋体"/>
          <w:sz w:val="24"/>
        </w:rPr>
        <w:t>2.3.2 不当场开标，采购人不向投标人解释未中标的原因，不退还投标文件。</w:t>
      </w:r>
    </w:p>
    <w:p>
      <w:pPr>
        <w:spacing w:line="360" w:lineRule="auto"/>
        <w:rPr>
          <w:rFonts w:ascii="宋体" w:hAnsi="宋体"/>
          <w:sz w:val="24"/>
        </w:rPr>
      </w:pPr>
      <w:r>
        <w:rPr>
          <w:rFonts w:hint="eastAsia" w:ascii="宋体" w:hAnsi="宋体"/>
          <w:sz w:val="24"/>
        </w:rPr>
        <w:t xml:space="preserve">2.3.3 </w:t>
      </w:r>
      <w:r>
        <w:rPr>
          <w:rFonts w:ascii="宋体" w:hAnsi="宋体"/>
          <w:sz w:val="24"/>
        </w:rPr>
        <w:t>中标人应在收到《中标通知书》后5天内与招标人签订合同。</w:t>
      </w:r>
      <w:bookmarkStart w:id="21" w:name="_Toc215567886"/>
      <w:bookmarkStart w:id="22" w:name="_Toc199222401"/>
    </w:p>
    <w:p>
      <w:pPr>
        <w:spacing w:after="156" w:afterLines="50" w:line="360" w:lineRule="auto"/>
        <w:ind w:left="142"/>
        <w:outlineLvl w:val="1"/>
        <w:rPr>
          <w:rFonts w:ascii="宋体" w:hAnsi="宋体"/>
          <w:b/>
          <w:sz w:val="24"/>
        </w:rPr>
      </w:pPr>
      <w:bookmarkStart w:id="23" w:name="_Toc517076103"/>
      <w:r>
        <w:rPr>
          <w:rFonts w:hint="eastAsia" w:ascii="宋体" w:hAnsi="宋体"/>
          <w:b/>
          <w:sz w:val="24"/>
        </w:rPr>
        <w:t>2.4应答文件的澄清</w:t>
      </w:r>
      <w:bookmarkEnd w:id="21"/>
      <w:bookmarkEnd w:id="22"/>
      <w:bookmarkEnd w:id="23"/>
    </w:p>
    <w:p>
      <w:pPr>
        <w:pStyle w:val="34"/>
        <w:spacing w:before="0" w:after="0" w:line="360" w:lineRule="auto"/>
        <w:ind w:left="0" w:firstLine="480" w:firstLineChars="200"/>
        <w:rPr>
          <w:rFonts w:ascii="宋体" w:hAnsi="宋体"/>
          <w:b w:val="0"/>
          <w:bCs/>
          <w:szCs w:val="24"/>
        </w:rPr>
      </w:pPr>
      <w:r>
        <w:rPr>
          <w:rFonts w:hint="eastAsia" w:ascii="宋体" w:hAnsi="宋体"/>
          <w:b w:val="0"/>
          <w:bCs/>
          <w:szCs w:val="24"/>
        </w:rPr>
        <w:t>为有助于对投标书的审查、评价和比较，评标期间可分别要求投标人对其应答文件进行澄清或答疑，有关澄清或答疑要求的答复应以书面形式提交，但不得对投标报价或实质性内容做任何修改。</w:t>
      </w:r>
    </w:p>
    <w:p>
      <w:pPr>
        <w:spacing w:after="156" w:afterLines="50" w:line="360" w:lineRule="auto"/>
        <w:ind w:left="142"/>
        <w:outlineLvl w:val="1"/>
        <w:rPr>
          <w:rFonts w:ascii="宋体" w:hAnsi="宋体"/>
          <w:b/>
          <w:sz w:val="24"/>
        </w:rPr>
      </w:pPr>
      <w:bookmarkStart w:id="24" w:name="_Toc517076104"/>
      <w:bookmarkStart w:id="25" w:name="_Toc211192937"/>
      <w:bookmarkStart w:id="26" w:name="_Toc215567887"/>
      <w:r>
        <w:rPr>
          <w:rFonts w:hint="eastAsia" w:ascii="宋体" w:hAnsi="宋体"/>
          <w:b/>
          <w:sz w:val="24"/>
        </w:rPr>
        <w:t>2.5应答文件</w:t>
      </w:r>
      <w:r>
        <w:rPr>
          <w:rFonts w:ascii="宋体" w:hAnsi="宋体"/>
          <w:b/>
          <w:sz w:val="24"/>
        </w:rPr>
        <w:t>拒绝</w:t>
      </w:r>
      <w:bookmarkEnd w:id="24"/>
      <w:bookmarkEnd w:id="25"/>
      <w:bookmarkEnd w:id="26"/>
    </w:p>
    <w:p>
      <w:pPr>
        <w:pStyle w:val="34"/>
        <w:spacing w:before="0" w:after="0" w:line="360" w:lineRule="auto"/>
        <w:ind w:left="0" w:firstLine="480" w:firstLineChars="200"/>
        <w:rPr>
          <w:rFonts w:ascii="宋体" w:hAnsi="宋体"/>
          <w:b w:val="0"/>
          <w:bCs/>
          <w:szCs w:val="24"/>
        </w:rPr>
      </w:pPr>
      <w:r>
        <w:rPr>
          <w:rFonts w:ascii="宋体" w:hAnsi="宋体"/>
          <w:b w:val="0"/>
          <w:bCs/>
          <w:szCs w:val="24"/>
        </w:rPr>
        <w:t>在合同签订之前，招标人保留在任何时候接受或者拒绝任何一个投标，宣布投标过程无效和拒绝所有的投标权力</w:t>
      </w:r>
      <w:r>
        <w:rPr>
          <w:rFonts w:hint="eastAsia" w:ascii="宋体" w:hAnsi="宋体"/>
          <w:b w:val="0"/>
          <w:bCs/>
          <w:szCs w:val="24"/>
        </w:rPr>
        <w:t>，</w:t>
      </w:r>
      <w:r>
        <w:rPr>
          <w:rFonts w:ascii="宋体" w:hAnsi="宋体"/>
          <w:b w:val="0"/>
          <w:bCs/>
          <w:szCs w:val="24"/>
        </w:rPr>
        <w:t>而且不须对受此影响的投标人或投标团体负任何责任</w:t>
      </w:r>
      <w:r>
        <w:rPr>
          <w:rFonts w:hint="eastAsia" w:ascii="宋体" w:hAnsi="宋体"/>
          <w:b w:val="0"/>
          <w:bCs/>
          <w:szCs w:val="24"/>
        </w:rPr>
        <w:t>，</w:t>
      </w:r>
      <w:r>
        <w:rPr>
          <w:rFonts w:ascii="宋体" w:hAnsi="宋体"/>
          <w:b w:val="0"/>
          <w:bCs/>
          <w:szCs w:val="24"/>
        </w:rPr>
        <w:t>不负责将招标人行为的背景通知给受此影响的投标人或投标团体。</w:t>
      </w:r>
    </w:p>
    <w:p>
      <w:pPr>
        <w:spacing w:after="156" w:afterLines="50" w:line="360" w:lineRule="auto"/>
        <w:ind w:left="142"/>
        <w:outlineLvl w:val="1"/>
        <w:rPr>
          <w:rFonts w:ascii="宋体" w:hAnsi="宋体"/>
          <w:b/>
          <w:sz w:val="24"/>
        </w:rPr>
      </w:pPr>
      <w:bookmarkStart w:id="27" w:name="_Toc215567889"/>
      <w:bookmarkStart w:id="28" w:name="_Toc517076105"/>
      <w:r>
        <w:rPr>
          <w:rFonts w:hint="eastAsia" w:ascii="宋体" w:hAnsi="宋体"/>
          <w:b/>
          <w:sz w:val="24"/>
        </w:rPr>
        <w:t>2.6</w:t>
      </w:r>
      <w:r>
        <w:rPr>
          <w:rFonts w:ascii="宋体" w:hAnsi="宋体"/>
          <w:b/>
          <w:sz w:val="24"/>
        </w:rPr>
        <w:t>合同谈判及授予</w:t>
      </w:r>
      <w:bookmarkEnd w:id="27"/>
      <w:bookmarkEnd w:id="28"/>
    </w:p>
    <w:p>
      <w:pPr>
        <w:spacing w:line="360" w:lineRule="auto"/>
        <w:rPr>
          <w:rFonts w:ascii="宋体" w:hAnsi="宋体"/>
          <w:sz w:val="24"/>
        </w:rPr>
      </w:pPr>
      <w:r>
        <w:rPr>
          <w:rFonts w:hint="eastAsia" w:ascii="宋体" w:hAnsi="宋体"/>
          <w:sz w:val="24"/>
        </w:rPr>
        <w:t xml:space="preserve">2.6.1  </w:t>
      </w:r>
      <w:r>
        <w:rPr>
          <w:rFonts w:ascii="宋体" w:hAnsi="宋体"/>
          <w:sz w:val="24"/>
        </w:rPr>
        <w:t>招标人保留调整招标范围、技术条款的权利。</w:t>
      </w:r>
    </w:p>
    <w:p>
      <w:pPr>
        <w:spacing w:line="360" w:lineRule="auto"/>
        <w:rPr>
          <w:rFonts w:ascii="宋体" w:hAnsi="宋体"/>
          <w:sz w:val="24"/>
        </w:rPr>
      </w:pPr>
      <w:r>
        <w:rPr>
          <w:rFonts w:hint="eastAsia" w:ascii="宋体" w:hAnsi="宋体"/>
          <w:sz w:val="24"/>
        </w:rPr>
        <w:t xml:space="preserve">2.6.2  </w:t>
      </w:r>
      <w:r>
        <w:rPr>
          <w:rFonts w:ascii="宋体" w:hAnsi="宋体"/>
          <w:sz w:val="24"/>
        </w:rPr>
        <w:t>在授予合同前的任何时候，招标人有权有选择地接受或拒绝任何报价。</w:t>
      </w:r>
    </w:p>
    <w:p>
      <w:pPr>
        <w:spacing w:after="156" w:afterLines="50" w:line="360" w:lineRule="auto"/>
        <w:ind w:left="142"/>
        <w:outlineLvl w:val="1"/>
        <w:rPr>
          <w:rFonts w:ascii="宋体" w:hAnsi="宋体"/>
          <w:b/>
          <w:sz w:val="24"/>
        </w:rPr>
      </w:pPr>
      <w:bookmarkStart w:id="29" w:name="_Toc517076106"/>
      <w:bookmarkStart w:id="30" w:name="_Toc215567890"/>
      <w:r>
        <w:rPr>
          <w:rFonts w:hint="eastAsia" w:ascii="宋体" w:hAnsi="宋体"/>
          <w:b/>
          <w:sz w:val="24"/>
        </w:rPr>
        <w:t>2.7</w:t>
      </w:r>
      <w:r>
        <w:rPr>
          <w:rFonts w:ascii="宋体" w:hAnsi="宋体"/>
          <w:b/>
          <w:sz w:val="24"/>
        </w:rPr>
        <w:t>其他要求</w:t>
      </w:r>
      <w:bookmarkEnd w:id="29"/>
      <w:bookmarkEnd w:id="30"/>
    </w:p>
    <w:p>
      <w:pPr>
        <w:spacing w:line="360" w:lineRule="auto"/>
        <w:rPr>
          <w:rFonts w:ascii="宋体" w:hAnsi="宋体"/>
          <w:sz w:val="24"/>
        </w:rPr>
      </w:pPr>
      <w:r>
        <w:rPr>
          <w:rFonts w:hint="eastAsia" w:ascii="宋体" w:hAnsi="宋体"/>
          <w:sz w:val="24"/>
        </w:rPr>
        <w:t xml:space="preserve">2.7.1  </w:t>
      </w:r>
      <w:r>
        <w:rPr>
          <w:rFonts w:ascii="宋体" w:hAnsi="宋体"/>
          <w:sz w:val="24"/>
        </w:rPr>
        <w:t>投标人应保证招标人不因使用了投标人提供的第三方软件而产生侵权，若有任何侵权行为，投标人必须承担由此产生的一切索赔和责任。</w:t>
      </w:r>
    </w:p>
    <w:p>
      <w:pPr>
        <w:spacing w:line="360" w:lineRule="auto"/>
        <w:rPr>
          <w:rFonts w:ascii="宋体" w:hAnsi="宋体"/>
          <w:sz w:val="24"/>
        </w:rPr>
      </w:pPr>
      <w:r>
        <w:rPr>
          <w:rFonts w:hint="eastAsia" w:ascii="宋体" w:hAnsi="宋体"/>
          <w:sz w:val="24"/>
        </w:rPr>
        <w:t xml:space="preserve">2.7.2  </w:t>
      </w:r>
      <w:r>
        <w:rPr>
          <w:rFonts w:ascii="宋体" w:hAnsi="宋体"/>
          <w:sz w:val="24"/>
        </w:rPr>
        <w:t>招标人利用投标人提交的技术服务工作成果所完成的新的技术成果，归双方所有。</w:t>
      </w:r>
    </w:p>
    <w:p>
      <w:pPr>
        <w:spacing w:line="360" w:lineRule="auto"/>
        <w:rPr>
          <w:rFonts w:ascii="宋体" w:hAnsi="宋体"/>
          <w:sz w:val="24"/>
        </w:rPr>
      </w:pPr>
      <w:r>
        <w:rPr>
          <w:rFonts w:hint="eastAsia" w:ascii="宋体" w:hAnsi="宋体"/>
          <w:sz w:val="24"/>
        </w:rPr>
        <w:t xml:space="preserve">2.7.3  </w:t>
      </w:r>
      <w:r>
        <w:rPr>
          <w:rFonts w:ascii="宋体" w:hAnsi="宋体"/>
          <w:sz w:val="24"/>
        </w:rPr>
        <w:t>投标人利用招标人提供的技术资料和工作条件所完成的新的技术成果，归双方所有。</w:t>
      </w:r>
    </w:p>
    <w:p>
      <w:pPr>
        <w:pStyle w:val="13"/>
        <w:spacing w:line="360" w:lineRule="auto"/>
        <w:ind w:firstLine="0"/>
        <w:rPr>
          <w:rFonts w:ascii="宋体" w:hAnsi="宋体"/>
          <w:sz w:val="24"/>
        </w:rPr>
      </w:pPr>
    </w:p>
    <w:p>
      <w:pPr>
        <w:pStyle w:val="13"/>
        <w:spacing w:line="480" w:lineRule="auto"/>
        <w:ind w:firstLine="6720" w:firstLineChars="2800"/>
        <w:rPr>
          <w:rFonts w:ascii="宋体" w:hAnsi="宋体"/>
          <w:sz w:val="24"/>
          <w:szCs w:val="24"/>
        </w:rPr>
      </w:pPr>
      <w:r>
        <w:rPr>
          <w:rFonts w:hint="eastAsia" w:ascii="宋体" w:hAnsi="宋体"/>
          <w:sz w:val="24"/>
        </w:rPr>
        <w:t>安徽职业技术学院</w:t>
      </w:r>
    </w:p>
    <w:p>
      <w:pPr>
        <w:spacing w:line="480" w:lineRule="auto"/>
        <w:ind w:firstLine="6720" w:firstLineChars="2800"/>
        <w:rPr>
          <w:rFonts w:ascii="宋体" w:hAnsi="宋体"/>
          <w:sz w:val="24"/>
        </w:rPr>
      </w:pPr>
      <w:r>
        <w:rPr>
          <w:rFonts w:hint="eastAsia" w:ascii="宋体" w:hAnsi="宋体"/>
          <w:sz w:val="24"/>
        </w:rPr>
        <w:t>日期:2018年 8 月 14 日</w:t>
      </w:r>
    </w:p>
    <w:sectPr>
      <w:pgSz w:w="11906" w:h="16838"/>
      <w:pgMar w:top="1134" w:right="1134" w:bottom="1134" w:left="1134" w:header="567" w:footer="567" w:gutter="0"/>
      <w:pgNumType w:start="1" w:chapStyle="1" w:chapSep="em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ind w:right="840"/>
      <w:jc w:val="both"/>
      <w:rPr>
        <w:sz w:val="21"/>
        <w:szCs w:val="21"/>
      </w:rPr>
    </w:pPr>
    <w:r>
      <w:rPr>
        <w:rFonts w:hint="eastAsia"/>
        <w:sz w:val="21"/>
        <w:szCs w:val="21"/>
      </w:rPr>
      <w:t>安徽职业技术学院2018年宿舍网网络运维服务托管项目</w:t>
    </w:r>
    <w:r>
      <w:rPr>
        <w:rFonts w:hint="eastAsia"/>
      </w:rPr>
      <w:t xml:space="preserve">       </w:t>
    </w:r>
    <w:r>
      <w:t xml:space="preserve">                    </w:t>
    </w:r>
    <w:r>
      <w:rPr>
        <w:rFonts w:hint="eastAsia"/>
        <w:kern w:val="0"/>
        <w:sz w:val="21"/>
        <w:szCs w:val="21"/>
      </w:rPr>
      <w:t>招标采购文件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28"/>
      </w:rPr>
    </w:pPr>
    <w:r>
      <w:rPr>
        <w:rStyle w:val="28"/>
      </w:rPr>
      <w:fldChar w:fldCharType="begin"/>
    </w:r>
    <w:r>
      <w:rPr>
        <w:rStyle w:val="28"/>
      </w:rPr>
      <w:instrText xml:space="preserve">PAGE  </w:instrText>
    </w:r>
    <w:r>
      <w:rPr>
        <w:rStyle w:val="28"/>
      </w:rPr>
      <w:fldChar w:fldCharType="end"/>
    </w:r>
  </w:p>
  <w:p>
    <w:pPr>
      <w:pStyle w:val="22"/>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eastAsia"/>
      </w:rPr>
    </w:lvl>
    <w:lvl w:ilvl="2" w:tentative="0">
      <w:start w:val="1"/>
      <w:numFmt w:val="decimal"/>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A991BAC"/>
    <w:multiLevelType w:val="multilevel"/>
    <w:tmpl w:val="1A991BAC"/>
    <w:lvl w:ilvl="0" w:tentative="0">
      <w:start w:val="1"/>
      <w:numFmt w:val="decimal"/>
      <w:lvlText w:val="1.6.%1"/>
      <w:lvlJc w:val="left"/>
      <w:pPr>
        <w:tabs>
          <w:tab w:val="left" w:pos="360"/>
        </w:tabs>
        <w:ind w:left="360" w:hanging="360"/>
      </w:pPr>
      <w:rPr>
        <w:rFonts w:hint="eastAsia"/>
      </w:rPr>
    </w:lvl>
    <w:lvl w:ilvl="1" w:tentative="0">
      <w:start w:val="1"/>
      <w:numFmt w:val="decimal"/>
      <w:lvlText w:val="%1.%2"/>
      <w:lvlJc w:val="left"/>
      <w:pPr>
        <w:tabs>
          <w:tab w:val="left" w:pos="360"/>
        </w:tabs>
        <w:ind w:left="360" w:hanging="360"/>
      </w:pPr>
      <w:rPr>
        <w:rFonts w:hint="default" w:hAnsi="宋体"/>
      </w:rPr>
    </w:lvl>
    <w:lvl w:ilvl="2" w:tentative="0">
      <w:start w:val="1"/>
      <w:numFmt w:val="decimal"/>
      <w:lvlText w:val="%1.%2.%3"/>
      <w:lvlJc w:val="left"/>
      <w:pPr>
        <w:tabs>
          <w:tab w:val="left" w:pos="720"/>
        </w:tabs>
        <w:ind w:left="720" w:hanging="720"/>
      </w:pPr>
      <w:rPr>
        <w:rFonts w:hint="default" w:hAnsi="宋体"/>
      </w:rPr>
    </w:lvl>
    <w:lvl w:ilvl="3" w:tentative="0">
      <w:start w:val="1"/>
      <w:numFmt w:val="decimal"/>
      <w:lvlText w:val="%1.%2.%3.%4"/>
      <w:lvlJc w:val="left"/>
      <w:pPr>
        <w:tabs>
          <w:tab w:val="left" w:pos="720"/>
        </w:tabs>
        <w:ind w:left="720" w:hanging="720"/>
      </w:pPr>
      <w:rPr>
        <w:rFonts w:hint="default" w:hAnsi="宋体"/>
      </w:rPr>
    </w:lvl>
    <w:lvl w:ilvl="4" w:tentative="0">
      <w:start w:val="1"/>
      <w:numFmt w:val="decimal"/>
      <w:lvlText w:val="%1.%2.%3.%4.%5"/>
      <w:lvlJc w:val="left"/>
      <w:pPr>
        <w:tabs>
          <w:tab w:val="left" w:pos="1080"/>
        </w:tabs>
        <w:ind w:left="1080" w:hanging="1080"/>
      </w:pPr>
      <w:rPr>
        <w:rFonts w:hint="default" w:hAnsi="宋体"/>
      </w:rPr>
    </w:lvl>
    <w:lvl w:ilvl="5" w:tentative="0">
      <w:start w:val="1"/>
      <w:numFmt w:val="decimal"/>
      <w:lvlText w:val="%1.%2.%3.%4.%5.%6"/>
      <w:lvlJc w:val="left"/>
      <w:pPr>
        <w:tabs>
          <w:tab w:val="left" w:pos="1080"/>
        </w:tabs>
        <w:ind w:left="1080" w:hanging="1080"/>
      </w:pPr>
      <w:rPr>
        <w:rFonts w:hint="default" w:hAnsi="宋体"/>
      </w:rPr>
    </w:lvl>
    <w:lvl w:ilvl="6" w:tentative="0">
      <w:start w:val="1"/>
      <w:numFmt w:val="decimal"/>
      <w:lvlText w:val="%1.%2.%3.%4.%5.%6.%7"/>
      <w:lvlJc w:val="left"/>
      <w:pPr>
        <w:tabs>
          <w:tab w:val="left" w:pos="1440"/>
        </w:tabs>
        <w:ind w:left="1440" w:hanging="1440"/>
      </w:pPr>
      <w:rPr>
        <w:rFonts w:hint="default" w:hAnsi="宋体"/>
      </w:rPr>
    </w:lvl>
    <w:lvl w:ilvl="7" w:tentative="0">
      <w:start w:val="1"/>
      <w:numFmt w:val="decimal"/>
      <w:lvlText w:val="%1.%2.%3.%4.%5.%6.%7.%8"/>
      <w:lvlJc w:val="left"/>
      <w:pPr>
        <w:tabs>
          <w:tab w:val="left" w:pos="1440"/>
        </w:tabs>
        <w:ind w:left="1440" w:hanging="1440"/>
      </w:pPr>
      <w:rPr>
        <w:rFonts w:hint="default" w:hAnsi="宋体"/>
      </w:rPr>
    </w:lvl>
    <w:lvl w:ilvl="8" w:tentative="0">
      <w:start w:val="1"/>
      <w:numFmt w:val="decimal"/>
      <w:lvlText w:val="%1.%2.%3.%4.%5.%6.%7.%8.%9"/>
      <w:lvlJc w:val="left"/>
      <w:pPr>
        <w:tabs>
          <w:tab w:val="left" w:pos="1800"/>
        </w:tabs>
        <w:ind w:left="1800" w:hanging="1800"/>
      </w:pPr>
      <w:rPr>
        <w:rFonts w:hint="default" w:hAnsi="宋体"/>
      </w:rPr>
    </w:lvl>
  </w:abstractNum>
  <w:abstractNum w:abstractNumId="2">
    <w:nsid w:val="365A4D58"/>
    <w:multiLevelType w:val="multilevel"/>
    <w:tmpl w:val="365A4D58"/>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F5F"/>
    <w:rsid w:val="0000180C"/>
    <w:rsid w:val="00005C64"/>
    <w:rsid w:val="00006597"/>
    <w:rsid w:val="00007D65"/>
    <w:rsid w:val="00013B8F"/>
    <w:rsid w:val="0001474C"/>
    <w:rsid w:val="0002311E"/>
    <w:rsid w:val="000339C4"/>
    <w:rsid w:val="00037905"/>
    <w:rsid w:val="000402E1"/>
    <w:rsid w:val="000650D6"/>
    <w:rsid w:val="00066A3F"/>
    <w:rsid w:val="000715C2"/>
    <w:rsid w:val="00071D6C"/>
    <w:rsid w:val="00087BAC"/>
    <w:rsid w:val="00092B65"/>
    <w:rsid w:val="000A2D40"/>
    <w:rsid w:val="000A44A3"/>
    <w:rsid w:val="000B552F"/>
    <w:rsid w:val="000B7D79"/>
    <w:rsid w:val="000C080F"/>
    <w:rsid w:val="000D007E"/>
    <w:rsid w:val="000D5F93"/>
    <w:rsid w:val="000E0020"/>
    <w:rsid w:val="000E51A4"/>
    <w:rsid w:val="000F3683"/>
    <w:rsid w:val="00105426"/>
    <w:rsid w:val="00113BEB"/>
    <w:rsid w:val="00116FD9"/>
    <w:rsid w:val="00117B22"/>
    <w:rsid w:val="00124143"/>
    <w:rsid w:val="00126635"/>
    <w:rsid w:val="00126DD7"/>
    <w:rsid w:val="001309B7"/>
    <w:rsid w:val="00133AFB"/>
    <w:rsid w:val="00133FB3"/>
    <w:rsid w:val="00134418"/>
    <w:rsid w:val="00135876"/>
    <w:rsid w:val="001425C7"/>
    <w:rsid w:val="001474AC"/>
    <w:rsid w:val="00151896"/>
    <w:rsid w:val="00153A9B"/>
    <w:rsid w:val="0015537C"/>
    <w:rsid w:val="00155AA4"/>
    <w:rsid w:val="00157A63"/>
    <w:rsid w:val="00160145"/>
    <w:rsid w:val="00166B4F"/>
    <w:rsid w:val="00167293"/>
    <w:rsid w:val="00176D00"/>
    <w:rsid w:val="00177688"/>
    <w:rsid w:val="0018210D"/>
    <w:rsid w:val="001833E9"/>
    <w:rsid w:val="001859DB"/>
    <w:rsid w:val="001A0050"/>
    <w:rsid w:val="001A0398"/>
    <w:rsid w:val="001A0ED2"/>
    <w:rsid w:val="001A2A1E"/>
    <w:rsid w:val="001A4707"/>
    <w:rsid w:val="001B75A7"/>
    <w:rsid w:val="001D3D5B"/>
    <w:rsid w:val="001D5AA6"/>
    <w:rsid w:val="001D5EB7"/>
    <w:rsid w:val="001F13D3"/>
    <w:rsid w:val="001F3B32"/>
    <w:rsid w:val="001F7710"/>
    <w:rsid w:val="0020215E"/>
    <w:rsid w:val="00204B23"/>
    <w:rsid w:val="00212F09"/>
    <w:rsid w:val="002157D2"/>
    <w:rsid w:val="00223596"/>
    <w:rsid w:val="00227D83"/>
    <w:rsid w:val="00236522"/>
    <w:rsid w:val="002367F8"/>
    <w:rsid w:val="00241944"/>
    <w:rsid w:val="00243CEF"/>
    <w:rsid w:val="0024702D"/>
    <w:rsid w:val="00256092"/>
    <w:rsid w:val="002572EE"/>
    <w:rsid w:val="00257430"/>
    <w:rsid w:val="0026041F"/>
    <w:rsid w:val="00264414"/>
    <w:rsid w:val="00266983"/>
    <w:rsid w:val="00270B77"/>
    <w:rsid w:val="00271A15"/>
    <w:rsid w:val="00274544"/>
    <w:rsid w:val="00274FD6"/>
    <w:rsid w:val="002761DB"/>
    <w:rsid w:val="0027775A"/>
    <w:rsid w:val="00283106"/>
    <w:rsid w:val="00290B96"/>
    <w:rsid w:val="00294247"/>
    <w:rsid w:val="002A3483"/>
    <w:rsid w:val="002B0A51"/>
    <w:rsid w:val="002B1DF5"/>
    <w:rsid w:val="002B1F5B"/>
    <w:rsid w:val="002B680D"/>
    <w:rsid w:val="002C7A04"/>
    <w:rsid w:val="002D1A6A"/>
    <w:rsid w:val="002D40B0"/>
    <w:rsid w:val="002D57F4"/>
    <w:rsid w:val="002E6ECD"/>
    <w:rsid w:val="002E6FD7"/>
    <w:rsid w:val="002E7AD7"/>
    <w:rsid w:val="0030745F"/>
    <w:rsid w:val="00312658"/>
    <w:rsid w:val="003140E6"/>
    <w:rsid w:val="00334D4E"/>
    <w:rsid w:val="003406B7"/>
    <w:rsid w:val="00344096"/>
    <w:rsid w:val="003454B0"/>
    <w:rsid w:val="003633E6"/>
    <w:rsid w:val="0037237A"/>
    <w:rsid w:val="00374BB8"/>
    <w:rsid w:val="00377E7D"/>
    <w:rsid w:val="00381578"/>
    <w:rsid w:val="0038370B"/>
    <w:rsid w:val="00386D50"/>
    <w:rsid w:val="00390917"/>
    <w:rsid w:val="00394547"/>
    <w:rsid w:val="00396839"/>
    <w:rsid w:val="003A086A"/>
    <w:rsid w:val="003A1D57"/>
    <w:rsid w:val="003B13DC"/>
    <w:rsid w:val="003D4A9F"/>
    <w:rsid w:val="003D525E"/>
    <w:rsid w:val="003D770D"/>
    <w:rsid w:val="003E5044"/>
    <w:rsid w:val="003F198F"/>
    <w:rsid w:val="003F6010"/>
    <w:rsid w:val="003F6C15"/>
    <w:rsid w:val="00416D37"/>
    <w:rsid w:val="004202B7"/>
    <w:rsid w:val="00426F22"/>
    <w:rsid w:val="00430EFA"/>
    <w:rsid w:val="00431E4F"/>
    <w:rsid w:val="004364B5"/>
    <w:rsid w:val="004409AB"/>
    <w:rsid w:val="00442675"/>
    <w:rsid w:val="004539A9"/>
    <w:rsid w:val="00454F60"/>
    <w:rsid w:val="00455C5E"/>
    <w:rsid w:val="0046155B"/>
    <w:rsid w:val="00464F0F"/>
    <w:rsid w:val="00466342"/>
    <w:rsid w:val="004678D5"/>
    <w:rsid w:val="00471AD0"/>
    <w:rsid w:val="0047227B"/>
    <w:rsid w:val="00484EBC"/>
    <w:rsid w:val="00485DA5"/>
    <w:rsid w:val="00487F93"/>
    <w:rsid w:val="004968C1"/>
    <w:rsid w:val="00496C5F"/>
    <w:rsid w:val="004A131A"/>
    <w:rsid w:val="004A76C0"/>
    <w:rsid w:val="004B1F67"/>
    <w:rsid w:val="004B3060"/>
    <w:rsid w:val="004B7BEB"/>
    <w:rsid w:val="004C08E3"/>
    <w:rsid w:val="004C3618"/>
    <w:rsid w:val="004D0678"/>
    <w:rsid w:val="004D69DD"/>
    <w:rsid w:val="004E270F"/>
    <w:rsid w:val="004E460F"/>
    <w:rsid w:val="004F392B"/>
    <w:rsid w:val="004F3FFE"/>
    <w:rsid w:val="004F7928"/>
    <w:rsid w:val="00507963"/>
    <w:rsid w:val="0051006D"/>
    <w:rsid w:val="0051430B"/>
    <w:rsid w:val="00520FAE"/>
    <w:rsid w:val="00535D0D"/>
    <w:rsid w:val="00541268"/>
    <w:rsid w:val="00551D5D"/>
    <w:rsid w:val="00554C04"/>
    <w:rsid w:val="00554C14"/>
    <w:rsid w:val="00556447"/>
    <w:rsid w:val="00557860"/>
    <w:rsid w:val="005627D9"/>
    <w:rsid w:val="005671DE"/>
    <w:rsid w:val="005674F4"/>
    <w:rsid w:val="005753A0"/>
    <w:rsid w:val="00581C05"/>
    <w:rsid w:val="005849F9"/>
    <w:rsid w:val="005906EF"/>
    <w:rsid w:val="005A0B7B"/>
    <w:rsid w:val="005A54BA"/>
    <w:rsid w:val="005B10B3"/>
    <w:rsid w:val="005B51FC"/>
    <w:rsid w:val="005B621B"/>
    <w:rsid w:val="005C0AC1"/>
    <w:rsid w:val="005C0B46"/>
    <w:rsid w:val="005C4516"/>
    <w:rsid w:val="005C4893"/>
    <w:rsid w:val="005C5DE9"/>
    <w:rsid w:val="005D64FD"/>
    <w:rsid w:val="005E31E0"/>
    <w:rsid w:val="005E3DBF"/>
    <w:rsid w:val="0060145C"/>
    <w:rsid w:val="00601929"/>
    <w:rsid w:val="0060769B"/>
    <w:rsid w:val="00611E66"/>
    <w:rsid w:val="00612799"/>
    <w:rsid w:val="00615D14"/>
    <w:rsid w:val="00616ED5"/>
    <w:rsid w:val="00617DC2"/>
    <w:rsid w:val="00622A3C"/>
    <w:rsid w:val="006266F3"/>
    <w:rsid w:val="00626A15"/>
    <w:rsid w:val="00630BAD"/>
    <w:rsid w:val="00630DCD"/>
    <w:rsid w:val="00631206"/>
    <w:rsid w:val="00636749"/>
    <w:rsid w:val="00637C91"/>
    <w:rsid w:val="0064092E"/>
    <w:rsid w:val="006431C9"/>
    <w:rsid w:val="006470DD"/>
    <w:rsid w:val="006518BA"/>
    <w:rsid w:val="00651C21"/>
    <w:rsid w:val="00654240"/>
    <w:rsid w:val="0065458C"/>
    <w:rsid w:val="00655692"/>
    <w:rsid w:val="00660927"/>
    <w:rsid w:val="00672610"/>
    <w:rsid w:val="00674CD0"/>
    <w:rsid w:val="00676DD4"/>
    <w:rsid w:val="006855FB"/>
    <w:rsid w:val="0069496F"/>
    <w:rsid w:val="00696D4D"/>
    <w:rsid w:val="006B3327"/>
    <w:rsid w:val="006B49EE"/>
    <w:rsid w:val="006B6075"/>
    <w:rsid w:val="006B6C53"/>
    <w:rsid w:val="006C0CDC"/>
    <w:rsid w:val="006C44C7"/>
    <w:rsid w:val="006D6095"/>
    <w:rsid w:val="006E2D31"/>
    <w:rsid w:val="006E3157"/>
    <w:rsid w:val="006E3F7F"/>
    <w:rsid w:val="006E7F35"/>
    <w:rsid w:val="006F307F"/>
    <w:rsid w:val="006F30FD"/>
    <w:rsid w:val="006F6347"/>
    <w:rsid w:val="006F7FF5"/>
    <w:rsid w:val="007042AF"/>
    <w:rsid w:val="00727577"/>
    <w:rsid w:val="00734818"/>
    <w:rsid w:val="00734F81"/>
    <w:rsid w:val="00735BC8"/>
    <w:rsid w:val="007408A8"/>
    <w:rsid w:val="00741075"/>
    <w:rsid w:val="007434DC"/>
    <w:rsid w:val="00750878"/>
    <w:rsid w:val="00764910"/>
    <w:rsid w:val="00765F81"/>
    <w:rsid w:val="00767C61"/>
    <w:rsid w:val="00771938"/>
    <w:rsid w:val="00776BD3"/>
    <w:rsid w:val="00777612"/>
    <w:rsid w:val="0078157D"/>
    <w:rsid w:val="00785977"/>
    <w:rsid w:val="0078608B"/>
    <w:rsid w:val="00786E83"/>
    <w:rsid w:val="00794A7D"/>
    <w:rsid w:val="00797615"/>
    <w:rsid w:val="007A382B"/>
    <w:rsid w:val="007A7DD1"/>
    <w:rsid w:val="007B5DE5"/>
    <w:rsid w:val="007B63F9"/>
    <w:rsid w:val="007B7B9C"/>
    <w:rsid w:val="007C31AB"/>
    <w:rsid w:val="007C3A3E"/>
    <w:rsid w:val="007D5C4A"/>
    <w:rsid w:val="007E089A"/>
    <w:rsid w:val="007E2470"/>
    <w:rsid w:val="007E5007"/>
    <w:rsid w:val="007E6A0E"/>
    <w:rsid w:val="007F0577"/>
    <w:rsid w:val="007F6578"/>
    <w:rsid w:val="0080305A"/>
    <w:rsid w:val="00805386"/>
    <w:rsid w:val="0080730C"/>
    <w:rsid w:val="00811DE4"/>
    <w:rsid w:val="00811E06"/>
    <w:rsid w:val="00812F5B"/>
    <w:rsid w:val="00822C81"/>
    <w:rsid w:val="0082469C"/>
    <w:rsid w:val="00825159"/>
    <w:rsid w:val="0083485B"/>
    <w:rsid w:val="008359A6"/>
    <w:rsid w:val="00843C35"/>
    <w:rsid w:val="00854F3D"/>
    <w:rsid w:val="008576BE"/>
    <w:rsid w:val="00864204"/>
    <w:rsid w:val="0087287C"/>
    <w:rsid w:val="00874B84"/>
    <w:rsid w:val="00895FF8"/>
    <w:rsid w:val="00896C18"/>
    <w:rsid w:val="008A1004"/>
    <w:rsid w:val="008A10B0"/>
    <w:rsid w:val="008A21A4"/>
    <w:rsid w:val="008A25A7"/>
    <w:rsid w:val="008A2B02"/>
    <w:rsid w:val="008A4185"/>
    <w:rsid w:val="008B1D95"/>
    <w:rsid w:val="008B334D"/>
    <w:rsid w:val="008B380A"/>
    <w:rsid w:val="008B4942"/>
    <w:rsid w:val="008B59D3"/>
    <w:rsid w:val="008C188F"/>
    <w:rsid w:val="008D057D"/>
    <w:rsid w:val="008D1BCA"/>
    <w:rsid w:val="008D2EAD"/>
    <w:rsid w:val="008D5068"/>
    <w:rsid w:val="008D793D"/>
    <w:rsid w:val="008E400B"/>
    <w:rsid w:val="008E6137"/>
    <w:rsid w:val="008E64E9"/>
    <w:rsid w:val="008E6870"/>
    <w:rsid w:val="008F1479"/>
    <w:rsid w:val="008F243C"/>
    <w:rsid w:val="00902722"/>
    <w:rsid w:val="009033DE"/>
    <w:rsid w:val="00911CCE"/>
    <w:rsid w:val="00921715"/>
    <w:rsid w:val="00934B48"/>
    <w:rsid w:val="00940B7A"/>
    <w:rsid w:val="009435B9"/>
    <w:rsid w:val="00943F1F"/>
    <w:rsid w:val="00954F43"/>
    <w:rsid w:val="0096040B"/>
    <w:rsid w:val="00981A8C"/>
    <w:rsid w:val="009911C8"/>
    <w:rsid w:val="009925DE"/>
    <w:rsid w:val="00993F20"/>
    <w:rsid w:val="00995E78"/>
    <w:rsid w:val="009A160F"/>
    <w:rsid w:val="009A4E34"/>
    <w:rsid w:val="009B2B1A"/>
    <w:rsid w:val="009C034C"/>
    <w:rsid w:val="009C2EF4"/>
    <w:rsid w:val="009C3CBC"/>
    <w:rsid w:val="009D0619"/>
    <w:rsid w:val="009D4957"/>
    <w:rsid w:val="009D5A64"/>
    <w:rsid w:val="009E6F5F"/>
    <w:rsid w:val="009F3FEB"/>
    <w:rsid w:val="009F4105"/>
    <w:rsid w:val="009F5A6A"/>
    <w:rsid w:val="00A00D61"/>
    <w:rsid w:val="00A03FB9"/>
    <w:rsid w:val="00A1591C"/>
    <w:rsid w:val="00A2093C"/>
    <w:rsid w:val="00A23605"/>
    <w:rsid w:val="00A27615"/>
    <w:rsid w:val="00A377DC"/>
    <w:rsid w:val="00A41CC5"/>
    <w:rsid w:val="00A47A42"/>
    <w:rsid w:val="00A57F4A"/>
    <w:rsid w:val="00A60CE6"/>
    <w:rsid w:val="00A65996"/>
    <w:rsid w:val="00A70518"/>
    <w:rsid w:val="00A8011C"/>
    <w:rsid w:val="00A81C76"/>
    <w:rsid w:val="00A90443"/>
    <w:rsid w:val="00A95A32"/>
    <w:rsid w:val="00A96B1B"/>
    <w:rsid w:val="00A96C07"/>
    <w:rsid w:val="00AB7247"/>
    <w:rsid w:val="00AC0B6C"/>
    <w:rsid w:val="00AD022C"/>
    <w:rsid w:val="00AF15F1"/>
    <w:rsid w:val="00AF5D64"/>
    <w:rsid w:val="00B0136A"/>
    <w:rsid w:val="00B044C7"/>
    <w:rsid w:val="00B06228"/>
    <w:rsid w:val="00B06817"/>
    <w:rsid w:val="00B121DA"/>
    <w:rsid w:val="00B27C03"/>
    <w:rsid w:val="00B4024D"/>
    <w:rsid w:val="00B43547"/>
    <w:rsid w:val="00B47719"/>
    <w:rsid w:val="00B51881"/>
    <w:rsid w:val="00B519C1"/>
    <w:rsid w:val="00B5225F"/>
    <w:rsid w:val="00B528E6"/>
    <w:rsid w:val="00B65587"/>
    <w:rsid w:val="00B66498"/>
    <w:rsid w:val="00B843D2"/>
    <w:rsid w:val="00B860A5"/>
    <w:rsid w:val="00B872C7"/>
    <w:rsid w:val="00B91052"/>
    <w:rsid w:val="00B930DD"/>
    <w:rsid w:val="00B97EC2"/>
    <w:rsid w:val="00BB0C98"/>
    <w:rsid w:val="00BB620C"/>
    <w:rsid w:val="00BB6BBA"/>
    <w:rsid w:val="00BC22D6"/>
    <w:rsid w:val="00BC26B0"/>
    <w:rsid w:val="00BD7F3C"/>
    <w:rsid w:val="00BE2C5B"/>
    <w:rsid w:val="00BF11CA"/>
    <w:rsid w:val="00BF3108"/>
    <w:rsid w:val="00C024F7"/>
    <w:rsid w:val="00C02589"/>
    <w:rsid w:val="00C069EA"/>
    <w:rsid w:val="00C105A7"/>
    <w:rsid w:val="00C11AF5"/>
    <w:rsid w:val="00C12DDC"/>
    <w:rsid w:val="00C1511F"/>
    <w:rsid w:val="00C216F9"/>
    <w:rsid w:val="00C3279F"/>
    <w:rsid w:val="00C33FE5"/>
    <w:rsid w:val="00C34B8D"/>
    <w:rsid w:val="00C35335"/>
    <w:rsid w:val="00C35DE4"/>
    <w:rsid w:val="00C40CF2"/>
    <w:rsid w:val="00C447CF"/>
    <w:rsid w:val="00C4636F"/>
    <w:rsid w:val="00C477CB"/>
    <w:rsid w:val="00C60F98"/>
    <w:rsid w:val="00C62FF7"/>
    <w:rsid w:val="00C63034"/>
    <w:rsid w:val="00C83170"/>
    <w:rsid w:val="00C85785"/>
    <w:rsid w:val="00C858F0"/>
    <w:rsid w:val="00C961A8"/>
    <w:rsid w:val="00CA17B4"/>
    <w:rsid w:val="00CA18AA"/>
    <w:rsid w:val="00CA2B9D"/>
    <w:rsid w:val="00CA3420"/>
    <w:rsid w:val="00CB3C00"/>
    <w:rsid w:val="00CB7EB5"/>
    <w:rsid w:val="00CC08D5"/>
    <w:rsid w:val="00CC0F45"/>
    <w:rsid w:val="00CC48E3"/>
    <w:rsid w:val="00CD7778"/>
    <w:rsid w:val="00CE389E"/>
    <w:rsid w:val="00CE5B6A"/>
    <w:rsid w:val="00CF07FC"/>
    <w:rsid w:val="00CF1E03"/>
    <w:rsid w:val="00CF2D7B"/>
    <w:rsid w:val="00CF303B"/>
    <w:rsid w:val="00CF5E1C"/>
    <w:rsid w:val="00D05FF1"/>
    <w:rsid w:val="00D14DEF"/>
    <w:rsid w:val="00D15F09"/>
    <w:rsid w:val="00D276E8"/>
    <w:rsid w:val="00D32F19"/>
    <w:rsid w:val="00D50DA6"/>
    <w:rsid w:val="00D60173"/>
    <w:rsid w:val="00D651A0"/>
    <w:rsid w:val="00D76E81"/>
    <w:rsid w:val="00D85C20"/>
    <w:rsid w:val="00DA2016"/>
    <w:rsid w:val="00DA2DCE"/>
    <w:rsid w:val="00DB006B"/>
    <w:rsid w:val="00DB2E59"/>
    <w:rsid w:val="00DB346F"/>
    <w:rsid w:val="00DB48E3"/>
    <w:rsid w:val="00DC504F"/>
    <w:rsid w:val="00DC55BB"/>
    <w:rsid w:val="00DC6C94"/>
    <w:rsid w:val="00DD3341"/>
    <w:rsid w:val="00DD6E84"/>
    <w:rsid w:val="00DE0F11"/>
    <w:rsid w:val="00DE126C"/>
    <w:rsid w:val="00DE1DB0"/>
    <w:rsid w:val="00DE2257"/>
    <w:rsid w:val="00DE575D"/>
    <w:rsid w:val="00DE64AA"/>
    <w:rsid w:val="00DE799F"/>
    <w:rsid w:val="00DF13F4"/>
    <w:rsid w:val="00DF435A"/>
    <w:rsid w:val="00E0014C"/>
    <w:rsid w:val="00E0784A"/>
    <w:rsid w:val="00E11D9F"/>
    <w:rsid w:val="00E129E6"/>
    <w:rsid w:val="00E13370"/>
    <w:rsid w:val="00E23B9B"/>
    <w:rsid w:val="00E27874"/>
    <w:rsid w:val="00E36538"/>
    <w:rsid w:val="00E44CA7"/>
    <w:rsid w:val="00E50F5C"/>
    <w:rsid w:val="00E600DB"/>
    <w:rsid w:val="00E638B7"/>
    <w:rsid w:val="00E65CB7"/>
    <w:rsid w:val="00E67D31"/>
    <w:rsid w:val="00E67EE7"/>
    <w:rsid w:val="00E82490"/>
    <w:rsid w:val="00E82B43"/>
    <w:rsid w:val="00E91C2D"/>
    <w:rsid w:val="00E91C6C"/>
    <w:rsid w:val="00E91CB8"/>
    <w:rsid w:val="00E93CB4"/>
    <w:rsid w:val="00EA250D"/>
    <w:rsid w:val="00EA527C"/>
    <w:rsid w:val="00EA7A66"/>
    <w:rsid w:val="00EB422B"/>
    <w:rsid w:val="00EB4821"/>
    <w:rsid w:val="00EC5421"/>
    <w:rsid w:val="00ED10B0"/>
    <w:rsid w:val="00ED1509"/>
    <w:rsid w:val="00ED337F"/>
    <w:rsid w:val="00EE281A"/>
    <w:rsid w:val="00EF1FA8"/>
    <w:rsid w:val="00EF30A6"/>
    <w:rsid w:val="00EF33D5"/>
    <w:rsid w:val="00EF4AE8"/>
    <w:rsid w:val="00EF5BA7"/>
    <w:rsid w:val="00F0769E"/>
    <w:rsid w:val="00F14743"/>
    <w:rsid w:val="00F1493A"/>
    <w:rsid w:val="00F22CEA"/>
    <w:rsid w:val="00F2441B"/>
    <w:rsid w:val="00F25666"/>
    <w:rsid w:val="00F3109F"/>
    <w:rsid w:val="00F406E2"/>
    <w:rsid w:val="00F433DB"/>
    <w:rsid w:val="00F47AEB"/>
    <w:rsid w:val="00F5025D"/>
    <w:rsid w:val="00F60B1C"/>
    <w:rsid w:val="00F62BF8"/>
    <w:rsid w:val="00F63274"/>
    <w:rsid w:val="00F64E50"/>
    <w:rsid w:val="00F707B3"/>
    <w:rsid w:val="00F71A13"/>
    <w:rsid w:val="00F72684"/>
    <w:rsid w:val="00F7393D"/>
    <w:rsid w:val="00F73D4C"/>
    <w:rsid w:val="00F76833"/>
    <w:rsid w:val="00F90010"/>
    <w:rsid w:val="00F908D4"/>
    <w:rsid w:val="00F94670"/>
    <w:rsid w:val="00F952D8"/>
    <w:rsid w:val="00FA24D8"/>
    <w:rsid w:val="00FA5DC2"/>
    <w:rsid w:val="00FB0E7E"/>
    <w:rsid w:val="00FB3BF1"/>
    <w:rsid w:val="00FC2578"/>
    <w:rsid w:val="00FC2774"/>
    <w:rsid w:val="00FD4500"/>
    <w:rsid w:val="00FD4E3D"/>
    <w:rsid w:val="00FD5C0B"/>
    <w:rsid w:val="00FD67F8"/>
    <w:rsid w:val="00FE0778"/>
    <w:rsid w:val="00FE15EB"/>
    <w:rsid w:val="00FE2B8D"/>
    <w:rsid w:val="00FF2141"/>
    <w:rsid w:val="0259371C"/>
    <w:rsid w:val="0FEC663E"/>
    <w:rsid w:val="129D4E26"/>
    <w:rsid w:val="15675A54"/>
    <w:rsid w:val="16196650"/>
    <w:rsid w:val="19D0437F"/>
    <w:rsid w:val="218A6DCF"/>
    <w:rsid w:val="28034146"/>
    <w:rsid w:val="3111619A"/>
    <w:rsid w:val="38E77C3A"/>
    <w:rsid w:val="4C696F74"/>
    <w:rsid w:val="5028424B"/>
    <w:rsid w:val="638E2150"/>
    <w:rsid w:val="6BE802ED"/>
    <w:rsid w:val="77901025"/>
    <w:rsid w:val="7FD04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3"/>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7">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rPr>
      <w:b/>
      <w:bCs/>
    </w:rPr>
  </w:style>
  <w:style w:type="paragraph" w:styleId="12">
    <w:name w:val="annotation text"/>
    <w:basedOn w:val="1"/>
    <w:semiHidden/>
    <w:qFormat/>
    <w:uiPriority w:val="0"/>
    <w:pPr>
      <w:jc w:val="left"/>
    </w:pPr>
  </w:style>
  <w:style w:type="paragraph" w:styleId="13">
    <w:name w:val="Normal Indent"/>
    <w:basedOn w:val="1"/>
    <w:qFormat/>
    <w:uiPriority w:val="0"/>
    <w:pPr>
      <w:ind w:firstLine="420"/>
    </w:pPr>
    <w:rPr>
      <w:szCs w:val="20"/>
    </w:rPr>
  </w:style>
  <w:style w:type="paragraph" w:styleId="14">
    <w:name w:val="Document Map"/>
    <w:basedOn w:val="1"/>
    <w:semiHidden/>
    <w:uiPriority w:val="0"/>
    <w:pPr>
      <w:shd w:val="clear" w:color="auto" w:fill="000080"/>
    </w:pPr>
  </w:style>
  <w:style w:type="paragraph" w:styleId="15">
    <w:name w:val="Body Text Indent"/>
    <w:basedOn w:val="1"/>
    <w:link w:val="42"/>
    <w:uiPriority w:val="0"/>
    <w:pPr>
      <w:spacing w:after="120"/>
      <w:ind w:left="420" w:leftChars="200"/>
    </w:pPr>
  </w:style>
  <w:style w:type="paragraph" w:styleId="16">
    <w:name w:val="List 2"/>
    <w:basedOn w:val="1"/>
    <w:uiPriority w:val="0"/>
    <w:pPr>
      <w:ind w:left="100" w:leftChars="200" w:hanging="200" w:hangingChars="200"/>
    </w:pPr>
  </w:style>
  <w:style w:type="paragraph" w:styleId="17">
    <w:name w:val="List Continue"/>
    <w:basedOn w:val="1"/>
    <w:uiPriority w:val="0"/>
    <w:pPr>
      <w:spacing w:after="120"/>
      <w:ind w:left="420" w:leftChars="200"/>
      <w:contextualSpacing/>
    </w:pPr>
  </w:style>
  <w:style w:type="paragraph" w:styleId="18">
    <w:name w:val="toc 3"/>
    <w:basedOn w:val="1"/>
    <w:next w:val="1"/>
    <w:qFormat/>
    <w:uiPriority w:val="39"/>
    <w:pPr>
      <w:ind w:left="840" w:leftChars="400"/>
    </w:pPr>
  </w:style>
  <w:style w:type="paragraph" w:styleId="19">
    <w:name w:val="Date"/>
    <w:basedOn w:val="1"/>
    <w:next w:val="1"/>
    <w:link w:val="39"/>
    <w:qFormat/>
    <w:uiPriority w:val="0"/>
    <w:pPr>
      <w:ind w:left="100" w:leftChars="2500"/>
    </w:pPr>
  </w:style>
  <w:style w:type="paragraph" w:styleId="20">
    <w:name w:val="Balloon Text"/>
    <w:basedOn w:val="1"/>
    <w:semiHidden/>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style>
  <w:style w:type="paragraph" w:styleId="24">
    <w:name w:val="toc 2"/>
    <w:basedOn w:val="1"/>
    <w:next w:val="1"/>
    <w:qFormat/>
    <w:uiPriority w:val="39"/>
    <w:pPr>
      <w:ind w:left="420" w:leftChars="200"/>
    </w:p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6">
    <w:name w:val="Title"/>
    <w:basedOn w:val="1"/>
    <w:next w:val="1"/>
    <w:link w:val="40"/>
    <w:qFormat/>
    <w:uiPriority w:val="0"/>
    <w:pPr>
      <w:spacing w:before="240" w:after="60"/>
      <w:jc w:val="center"/>
      <w:outlineLvl w:val="0"/>
    </w:pPr>
    <w:rPr>
      <w:rFonts w:asciiTheme="majorHAnsi" w:hAnsiTheme="majorHAnsi" w:eastAsiaTheme="majorEastAsia" w:cstheme="majorBidi"/>
      <w:b/>
      <w:bCs/>
      <w:sz w:val="32"/>
      <w:szCs w:val="32"/>
    </w:rPr>
  </w:style>
  <w:style w:type="character" w:styleId="28">
    <w:name w:val="page number"/>
    <w:basedOn w:val="27"/>
    <w:qFormat/>
    <w:uiPriority w:val="0"/>
  </w:style>
  <w:style w:type="character" w:styleId="29">
    <w:name w:val="Hyperlink"/>
    <w:basedOn w:val="27"/>
    <w:unhideWhenUsed/>
    <w:qFormat/>
    <w:uiPriority w:val="99"/>
    <w:rPr>
      <w:color w:val="0563C1" w:themeColor="hyperlink"/>
      <w:u w:val="single"/>
      <w14:textFill>
        <w14:solidFill>
          <w14:schemeClr w14:val="hlink"/>
        </w14:solidFill>
      </w14:textFill>
    </w:rPr>
  </w:style>
  <w:style w:type="character" w:styleId="30">
    <w:name w:val="annotation reference"/>
    <w:semiHidden/>
    <w:uiPriority w:val="0"/>
    <w:rPr>
      <w:sz w:val="21"/>
      <w:szCs w:val="21"/>
    </w:rPr>
  </w:style>
  <w:style w:type="table" w:styleId="32">
    <w:name w:val="Table Grid"/>
    <w:basedOn w:val="3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3">
    <w:name w:val="Char"/>
    <w:basedOn w:val="1"/>
    <w:uiPriority w:val="0"/>
    <w:rPr>
      <w:rFonts w:ascii="仿宋_GB2312" w:eastAsia="仿宋_GB2312"/>
      <w:b/>
      <w:sz w:val="32"/>
      <w:szCs w:val="32"/>
    </w:rPr>
  </w:style>
  <w:style w:type="paragraph" w:customStyle="1" w:styleId="34">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character" w:customStyle="1" w:styleId="35">
    <w:name w:val="para"/>
    <w:basedOn w:val="27"/>
    <w:uiPriority w:val="0"/>
  </w:style>
  <w:style w:type="paragraph" w:styleId="36">
    <w:name w:val="List Paragraph"/>
    <w:basedOn w:val="1"/>
    <w:qFormat/>
    <w:uiPriority w:val="34"/>
    <w:pPr>
      <w:ind w:firstLine="420" w:firstLineChars="200"/>
    </w:pPr>
    <w:rPr>
      <w:rFonts w:ascii="Calibri" w:hAnsi="Calibri"/>
      <w:szCs w:val="22"/>
    </w:rPr>
  </w:style>
  <w:style w:type="paragraph" w:customStyle="1" w:styleId="37">
    <w:name w:val="样式4"/>
    <w:basedOn w:val="1"/>
    <w:link w:val="38"/>
    <w:qFormat/>
    <w:uiPriority w:val="0"/>
    <w:pPr>
      <w:spacing w:line="360" w:lineRule="auto"/>
    </w:pPr>
    <w:rPr>
      <w:rFonts w:ascii="Calibri" w:hAnsi="Calibri"/>
      <w:sz w:val="24"/>
      <w:szCs w:val="22"/>
      <w:lang w:val="zh-CN"/>
    </w:rPr>
  </w:style>
  <w:style w:type="character" w:customStyle="1" w:styleId="38">
    <w:name w:val="样式4 Char"/>
    <w:link w:val="37"/>
    <w:qFormat/>
    <w:uiPriority w:val="0"/>
    <w:rPr>
      <w:rFonts w:ascii="Calibri" w:hAnsi="Calibri"/>
      <w:kern w:val="2"/>
      <w:sz w:val="24"/>
      <w:szCs w:val="22"/>
      <w:lang w:val="zh-CN" w:eastAsia="zh-CN"/>
    </w:rPr>
  </w:style>
  <w:style w:type="character" w:customStyle="1" w:styleId="39">
    <w:name w:val="日期 Char"/>
    <w:link w:val="19"/>
    <w:qFormat/>
    <w:uiPriority w:val="0"/>
    <w:rPr>
      <w:kern w:val="2"/>
      <w:sz w:val="21"/>
      <w:szCs w:val="24"/>
    </w:rPr>
  </w:style>
  <w:style w:type="character" w:customStyle="1" w:styleId="40">
    <w:name w:val="标题 Char"/>
    <w:basedOn w:val="27"/>
    <w:link w:val="26"/>
    <w:qFormat/>
    <w:uiPriority w:val="0"/>
    <w:rPr>
      <w:rFonts w:asciiTheme="majorHAnsi" w:hAnsiTheme="majorHAnsi" w:eastAsiaTheme="majorEastAsia" w:cstheme="majorBidi"/>
      <w:b/>
      <w:bCs/>
      <w:kern w:val="2"/>
      <w:sz w:val="32"/>
      <w:szCs w:val="32"/>
    </w:rPr>
  </w:style>
  <w:style w:type="character" w:customStyle="1" w:styleId="41">
    <w:name w:val="wp_visitcount1"/>
    <w:basedOn w:val="27"/>
    <w:qFormat/>
    <w:uiPriority w:val="0"/>
    <w:rPr>
      <w:vanish/>
    </w:rPr>
  </w:style>
  <w:style w:type="character" w:customStyle="1" w:styleId="42">
    <w:name w:val="正文文本缩进 Char"/>
    <w:basedOn w:val="27"/>
    <w:link w:val="15"/>
    <w:uiPriority w:val="0"/>
    <w:rPr>
      <w:kern w:val="2"/>
      <w:sz w:val="21"/>
      <w:szCs w:val="24"/>
    </w:rPr>
  </w:style>
  <w:style w:type="character" w:customStyle="1" w:styleId="43">
    <w:name w:val="标题 3 Char1"/>
    <w:basedOn w:val="27"/>
    <w:link w:val="4"/>
    <w:uiPriority w:val="0"/>
    <w:rPr>
      <w:b/>
      <w:bCs/>
      <w:kern w:val="2"/>
      <w:sz w:val="32"/>
      <w:szCs w:val="32"/>
    </w:rPr>
  </w:style>
  <w:style w:type="character" w:customStyle="1" w:styleId="44">
    <w:name w:val="标题 4 Char1"/>
    <w:basedOn w:val="27"/>
    <w:link w:val="5"/>
    <w:uiPriority w:val="0"/>
    <w:rPr>
      <w:rFonts w:ascii="Arial" w:hAnsi="Arial" w:eastAsia="黑体"/>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EDEAA-12F9-4E17-922B-F20E536F0DD1}">
  <ds:schemaRefs/>
</ds:datastoreItem>
</file>

<file path=docProps/app.xml><?xml version="1.0" encoding="utf-8"?>
<Properties xmlns="http://schemas.openxmlformats.org/officeDocument/2006/extended-properties" xmlns:vt="http://schemas.openxmlformats.org/officeDocument/2006/docPropsVTypes">
  <Template>Normal.dotm</Template>
  <Manager>合肥天帷信息安全技术有限公司</Manager>
  <Company>china</Company>
  <Pages>23</Pages>
  <Words>2005</Words>
  <Characters>11429</Characters>
  <Lines>95</Lines>
  <Paragraphs>26</Paragraphs>
  <TotalTime>62</TotalTime>
  <ScaleCrop>false</ScaleCrop>
  <LinksUpToDate>false</LinksUpToDate>
  <CharactersWithSpaces>13408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2018-07-04T01:45:00Z</dcterms:created>
  <dc:creator>Panda.Tao</dc:creator>
  <cp:keywords>信息安全等级保护</cp:keywords>
  <cp:lastModifiedBy>Administrator</cp:lastModifiedBy>
  <cp:lastPrinted>2018-07-03T00:44:00Z</cp:lastPrinted>
  <dcterms:modified xsi:type="dcterms:W3CDTF">2018-08-14T02:58:16Z</dcterms:modified>
  <dc:title>信息安全等级保护测评招标文件</dc:title>
  <cp:revision>404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