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Cs/>
          <w:sz w:val="44"/>
          <w:szCs w:val="44"/>
        </w:rPr>
      </w:pPr>
      <w:r>
        <w:rPr>
          <w:rFonts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企业基本情况表</w:t>
      </w: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2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  <w:t>商业计划书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  <w:lang w:val="en-US" w:eastAsia="zh-CN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“青苗杯”</w:t>
      </w:r>
      <w:r>
        <w:rPr>
          <w:rFonts w:hint="eastAsia" w:ascii="楷体_GB2312" w:hAnsi="楷体_GB2312" w:eastAsia="楷体_GB2312" w:cs="楷体_GB2312"/>
          <w:sz w:val="28"/>
          <w:lang w:eastAsia="zh-CN"/>
        </w:rPr>
        <w:t>安徽省</w:t>
      </w:r>
      <w:r>
        <w:rPr>
          <w:rFonts w:hint="eastAsia" w:ascii="楷体_GB2312" w:hAnsi="楷体_GB2312" w:eastAsia="楷体_GB2312" w:cs="楷体_GB2312"/>
          <w:sz w:val="28"/>
        </w:rPr>
        <w:t>项目资本群英会活动组委会制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黑体_GBK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三、创业机会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营业收入和费用、现金流量、盈利能力和盈利模式、固定和变动成本；公司的财务绩效，包括前两年财务月报和后三年财务年报。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“青苗杯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·中建智立方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”安徽省项目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资本群英会报名汇总表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                           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288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78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企业/项目名称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06B0"/>
    <w:rsid w:val="2AB15562"/>
    <w:rsid w:val="2AE706B0"/>
    <w:rsid w:val="2BBB1DD7"/>
    <w:rsid w:val="5B0201B0"/>
    <w:rsid w:val="5E14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2019-10-25T08:36:00Z</dcterms:created>
  <dc:creator>许飞</dc:creator>
  <cp:lastModifiedBy>Administrator</cp:lastModifiedBy>
  <dcterms:modified xsi:type="dcterms:W3CDTF">2020-11-06T06:39:07Z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