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安徽职业技术学院办公楼图书馆外立面维修改造编制依据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执行2018版安徽省建设工程计价依据；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主要材料价格：采用2019年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eastAsia="zh-CN"/>
        </w:rPr>
        <w:t>合肥</w:t>
      </w:r>
      <w:r>
        <w:rPr>
          <w:rFonts w:hint="eastAsia" w:ascii="仿宋_GB2312" w:eastAsia="仿宋_GB2312"/>
          <w:sz w:val="28"/>
          <w:szCs w:val="28"/>
        </w:rPr>
        <w:t>地区建设工程市场价格信息主刊价格；信息价没有的材料、设备按照市场询价（增值税模式）计入；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人工费按照 140 元/工日进行计入；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控制价中企业管理费和利润按照相应专业计取；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措施项目费按照相应专业计取；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不可竞争费按照相应专业计取；</w:t>
      </w:r>
    </w:p>
    <w:p>
      <w:pPr>
        <w:spacing w:line="360" w:lineRule="auto"/>
        <w:ind w:firstLine="560" w:firstLineChars="200"/>
        <w:rPr>
          <w:rFonts w:hint="eastAsia" w:ascii="仿宋_GB2312" w:hAnsi="Times New Roman" w:eastAsia="仿宋_GB2312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28"/>
          <w:szCs w:val="28"/>
          <w:lang w:val="en-US" w:eastAsia="zh-CN" w:bidi="ar-SA"/>
        </w:rPr>
        <w:t>税金采用增值税一般计税模式，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税金采用增值税一般计税模式</w:t>
      </w:r>
      <w:r>
        <w:rPr>
          <w:rFonts w:hint="eastAsia" w:ascii="仿宋_GB2312" w:eastAsia="仿宋_GB2312"/>
          <w:sz w:val="28"/>
          <w:szCs w:val="28"/>
          <w:lang w:eastAsia="zh-CN"/>
        </w:rPr>
        <w:t>，按照关于调整我省现行建设工程计价依据增值税税率的通知造价〔201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  <w:lang w:eastAsia="zh-CN"/>
        </w:rPr>
        <w:t>〕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  <w:lang w:eastAsia="zh-CN"/>
        </w:rPr>
        <w:t>号计取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B5A15"/>
    <w:rsid w:val="4101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HJ</dc:creator>
  <cp:lastModifiedBy>HJ</cp:lastModifiedBy>
  <dcterms:modified xsi:type="dcterms:W3CDTF">2019-06-07T08:14:43Z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