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80" w:lineRule="atLeast"/>
        <w:jc w:val="left"/>
        <w:rPr>
          <w:rFonts w:ascii="方正仿宋_GBK" w:hAnsi="黑体" w:eastAsia="方正仿宋_GBK" w:cs="仿宋"/>
          <w:bCs/>
          <w:kern w:val="0"/>
          <w:sz w:val="32"/>
          <w:szCs w:val="32"/>
        </w:rPr>
      </w:pPr>
      <w:r>
        <w:rPr>
          <w:rFonts w:hint="eastAsia" w:ascii="方正仿宋_GBK" w:hAnsi="黑体" w:eastAsia="方正仿宋_GBK" w:cs="仿宋"/>
          <w:bCs/>
          <w:kern w:val="0"/>
          <w:sz w:val="32"/>
          <w:szCs w:val="32"/>
        </w:rPr>
        <w:t>推荐单位：安徽财贸职业学院</w:t>
      </w:r>
    </w:p>
    <w:p>
      <w:pPr>
        <w:adjustRightInd w:val="0"/>
        <w:snapToGrid w:val="0"/>
        <w:spacing w:line="580" w:lineRule="atLeast"/>
        <w:jc w:val="left"/>
        <w:rPr>
          <w:rFonts w:ascii="方正仿宋_GBK" w:hAnsi="黑体" w:eastAsia="方正仿宋_GBK" w:cs="仿宋"/>
          <w:bCs/>
          <w:kern w:val="0"/>
          <w:sz w:val="32"/>
          <w:szCs w:val="32"/>
        </w:rPr>
      </w:pPr>
    </w:p>
    <w:p>
      <w:pPr>
        <w:adjustRightInd w:val="0"/>
        <w:snapToGrid w:val="0"/>
        <w:spacing w:line="580" w:lineRule="atLeast"/>
        <w:jc w:val="center"/>
        <w:rPr>
          <w:rFonts w:ascii="方正小标宋_GBK" w:hAnsi="宋体" w:eastAsia="方正小标宋_GBK"/>
          <w:bCs/>
          <w:sz w:val="44"/>
          <w:szCs w:val="44"/>
        </w:rPr>
      </w:pPr>
      <w:r>
        <w:rPr>
          <w:rFonts w:hint="eastAsia" w:ascii="方正小标宋_GBK" w:hAnsi="宋体" w:eastAsia="方正小标宋_GBK" w:cs="微软雅黑"/>
          <w:bCs/>
          <w:sz w:val="44"/>
          <w:szCs w:val="44"/>
        </w:rPr>
        <w:t>健全勤工助学机制</w:t>
      </w:r>
      <w:r>
        <w:rPr>
          <w:rFonts w:hint="eastAsia" w:ascii="方正小标宋_GBK" w:hAnsi="宋体" w:eastAsia="方正小标宋_GBK" w:cs="Malgun Gothic Semilight"/>
          <w:bCs/>
          <w:sz w:val="44"/>
          <w:szCs w:val="44"/>
        </w:rPr>
        <w:t>，</w:t>
      </w:r>
      <w:r>
        <w:rPr>
          <w:rFonts w:hint="eastAsia" w:ascii="方正小标宋_GBK" w:hAnsi="宋体" w:eastAsia="方正小标宋_GBK" w:cs="微软雅黑"/>
          <w:bCs/>
          <w:sz w:val="44"/>
          <w:szCs w:val="44"/>
        </w:rPr>
        <w:t>发挥资助育人功效</w:t>
      </w:r>
    </w:p>
    <w:p>
      <w:pPr>
        <w:adjustRightInd w:val="0"/>
        <w:snapToGrid w:val="0"/>
        <w:spacing w:line="580" w:lineRule="atLeast"/>
        <w:jc w:val="center"/>
        <w:rPr>
          <w:rFonts w:hint="eastAsia" w:ascii="方正楷体_GBK" w:hAnsi="楷体" w:eastAsia="方正楷体_GBK"/>
          <w:sz w:val="32"/>
          <w:szCs w:val="32"/>
        </w:rPr>
      </w:pPr>
      <w:r>
        <w:rPr>
          <w:rFonts w:hint="eastAsia" w:ascii="方正楷体_GBK" w:hAnsi="楷体" w:eastAsia="方正楷体_GBK"/>
          <w:sz w:val="32"/>
          <w:szCs w:val="32"/>
        </w:rPr>
        <w:t>薛卫敏（安徽财贸职业学院</w:t>
      </w:r>
      <w:r>
        <w:rPr>
          <w:rFonts w:hint="eastAsia" w:ascii="方正楷体_GBK" w:hAnsi="楷体" w:eastAsia="方正楷体_GBK"/>
          <w:sz w:val="32"/>
          <w:szCs w:val="32"/>
        </w:rPr>
        <w:t>学生处处长）、张伟（安徽财贸职业学院</w:t>
      </w:r>
      <w:r>
        <w:rPr>
          <w:rFonts w:hint="eastAsia" w:ascii="方正楷体_GBK" w:hAnsi="楷体" w:eastAsia="方正楷体_GBK"/>
          <w:sz w:val="32"/>
          <w:szCs w:val="32"/>
        </w:rPr>
        <w:t>宾虹艺术学院党总支副书记）、胡宏萱（安徽财贸职业学院</w:t>
      </w:r>
      <w:r>
        <w:rPr>
          <w:rFonts w:hint="eastAsia" w:ascii="方正楷体_GBK" w:hAnsi="楷体" w:eastAsia="方正楷体_GBK"/>
          <w:sz w:val="32"/>
          <w:szCs w:val="32"/>
        </w:rPr>
        <w:t>茂荫财金学院党</w:t>
      </w:r>
      <w:bookmarkStart w:id="0" w:name="_GoBack"/>
      <w:bookmarkEnd w:id="0"/>
      <w:r>
        <w:rPr>
          <w:rFonts w:hint="eastAsia" w:ascii="方正楷体_GBK" w:hAnsi="楷体" w:eastAsia="方正楷体_GBK"/>
          <w:sz w:val="32"/>
          <w:szCs w:val="32"/>
        </w:rPr>
        <w:t>总支副书记）</w:t>
      </w:r>
    </w:p>
    <w:p>
      <w:pPr>
        <w:adjustRightInd w:val="0"/>
        <w:snapToGrid w:val="0"/>
        <w:spacing w:line="580" w:lineRule="atLeast"/>
        <w:jc w:val="center"/>
        <w:rPr>
          <w:rFonts w:ascii="楷体" w:hAnsi="楷体" w:eastAsia="楷体"/>
          <w:sz w:val="32"/>
          <w:szCs w:val="32"/>
        </w:rPr>
      </w:pPr>
    </w:p>
    <w:p>
      <w:pPr>
        <w:widowControl/>
        <w:adjustRightInd w:val="0"/>
        <w:snapToGrid w:val="0"/>
        <w:spacing w:line="580" w:lineRule="atLeast"/>
        <w:ind w:firstLine="640" w:firstLineChars="200"/>
        <w:rPr>
          <w:rFonts w:ascii="方正仿宋_GBK" w:hAnsi="仿宋" w:eastAsia="方正仿宋_GBK" w:cs="仿宋"/>
          <w:bCs/>
          <w:kern w:val="0"/>
          <w:sz w:val="32"/>
          <w:szCs w:val="32"/>
        </w:rPr>
      </w:pPr>
      <w:r>
        <w:rPr>
          <w:rFonts w:hint="eastAsia" w:ascii="方正仿宋_GBK" w:hAnsi="仿宋" w:eastAsia="方正仿宋_GBK" w:cs="仿宋"/>
          <w:bCs/>
          <w:kern w:val="0"/>
          <w:sz w:val="32"/>
          <w:szCs w:val="32"/>
        </w:rPr>
        <w:t>勤工助学是高校学生资助工作的重要组成部分，是提升学生综合素质能力和资助家庭经济困难学生的有效途径，是实现“三全育人”的实践平台。勤工助学在深化教育教学改革、培养德智体美劳全面发展的社会主义建设者和接班人方面，具有重要地位和作用。安徽财贸职业学院坚持资助育人导向，将勤工助学作为资助家庭经济困难学生的重要渠道，将扶困与扶智、扶困与扶志结合起来，将无偿资助与有偿资助有机融合，不断创新勤工助学实践育人载体，增强学生社会实践能力，形成“解困—育人—成才—回馈”的良性循环，发挥勤工助学资助育人功效。</w:t>
      </w:r>
    </w:p>
    <w:p>
      <w:pPr>
        <w:adjustRightInd w:val="0"/>
        <w:snapToGrid w:val="0"/>
        <w:spacing w:line="580" w:lineRule="atLeast"/>
        <w:ind w:firstLine="640" w:firstLineChars="200"/>
        <w:rPr>
          <w:rFonts w:ascii="方正黑体_GBK" w:hAnsi="黑体" w:eastAsia="方正黑体_GBK" w:cs="仿宋"/>
          <w:bCs/>
          <w:kern w:val="0"/>
          <w:sz w:val="32"/>
          <w:szCs w:val="32"/>
        </w:rPr>
      </w:pPr>
      <w:r>
        <w:rPr>
          <w:rFonts w:hint="eastAsia" w:ascii="方正黑体_GBK" w:hAnsi="黑体" w:eastAsia="方正黑体_GBK" w:cs="仿宋"/>
          <w:bCs/>
          <w:kern w:val="0"/>
          <w:sz w:val="32"/>
          <w:szCs w:val="32"/>
        </w:rPr>
        <w:t>一、健全勤工助学实践育人机制</w:t>
      </w:r>
    </w:p>
    <w:p>
      <w:pPr>
        <w:widowControl/>
        <w:adjustRightInd w:val="0"/>
        <w:snapToGrid w:val="0"/>
        <w:spacing w:line="580" w:lineRule="atLeast"/>
        <w:ind w:firstLine="643" w:firstLineChars="200"/>
        <w:rPr>
          <w:rFonts w:ascii="方正楷体_GBK" w:hAnsi="楷体" w:eastAsia="方正楷体_GBK" w:cs="仿宋"/>
          <w:b/>
          <w:bCs/>
          <w:kern w:val="0"/>
          <w:sz w:val="32"/>
          <w:szCs w:val="32"/>
        </w:rPr>
      </w:pPr>
      <w:r>
        <w:rPr>
          <w:rFonts w:hint="eastAsia" w:ascii="方正楷体_GBK" w:hAnsi="楷体" w:eastAsia="方正楷体_GBK" w:cs="仿宋"/>
          <w:b/>
          <w:bCs/>
          <w:kern w:val="0"/>
          <w:sz w:val="32"/>
          <w:szCs w:val="32"/>
        </w:rPr>
        <w:t>（一）完善制度建设</w:t>
      </w:r>
    </w:p>
    <w:p>
      <w:pPr>
        <w:widowControl/>
        <w:adjustRightInd w:val="0"/>
        <w:snapToGrid w:val="0"/>
        <w:spacing w:line="580" w:lineRule="atLeast"/>
        <w:ind w:firstLine="640" w:firstLineChars="200"/>
        <w:rPr>
          <w:rFonts w:ascii="方正仿宋_GBK" w:hAnsi="仿宋" w:eastAsia="方正仿宋_GBK" w:cs="仿宋"/>
          <w:bCs/>
          <w:kern w:val="0"/>
          <w:sz w:val="32"/>
          <w:szCs w:val="32"/>
        </w:rPr>
      </w:pPr>
      <w:r>
        <w:rPr>
          <w:rFonts w:hint="eastAsia" w:ascii="方正仿宋_GBK" w:hAnsi="仿宋" w:eastAsia="方正仿宋_GBK" w:cs="仿宋"/>
          <w:bCs/>
          <w:kern w:val="0"/>
          <w:sz w:val="32"/>
          <w:szCs w:val="32"/>
        </w:rPr>
        <w:t>学院不断完善学生资助制度建设，规范管理学生勤工助学工作，保障学生合法权益，全面推进精准资助和资助育人工作。2019年6月，根据《教育部、财政部关于印发&lt;高等学校学生勤工助学管理办法（2018年修订）&gt;的通知》（教财〔2018〕12号）精神，修订《安徽财贸职业学院勤工助学管理实施办法》，完善勤工助学岗位设置、选拔聘任、岗前培训、教育管理、考核激励等管理规定，确保勤工助学工作有章可循。进一步加大对勤工助学岗位资助力度，在学生勤工助学每月不超过40小时工作量的前提下，资助金额由原来的每岗每月300元调整为每岗每月600元。按照“学有余力、自愿申请、信息公开、扶困优先、竞争上岗、遵纪守法”的原则，帮助家庭经济困难学生通过勤工助学完成学业，培养学生热爱劳动、自强不息的奋斗精神，建立资助育人长效机制，学生资助从原来的“输血式给予”到现在的“造血式給予”，勤工助学已成为培养学生社会责任感和奉献意识的重要载体。</w:t>
      </w:r>
    </w:p>
    <w:p>
      <w:pPr>
        <w:pStyle w:val="2"/>
        <w:adjustRightInd w:val="0"/>
        <w:snapToGrid w:val="0"/>
        <w:spacing w:before="0" w:beforeAutospacing="0" w:after="0" w:afterAutospacing="0" w:line="580" w:lineRule="atLeast"/>
        <w:ind w:firstLine="643" w:firstLineChars="200"/>
        <w:jc w:val="both"/>
        <w:rPr>
          <w:rFonts w:ascii="方正楷体_GBK" w:hAnsi="楷体" w:eastAsia="方正楷体_GBK" w:cs="仿宋"/>
          <w:b/>
          <w:bCs/>
          <w:sz w:val="32"/>
          <w:szCs w:val="32"/>
        </w:rPr>
      </w:pPr>
      <w:r>
        <w:rPr>
          <w:rFonts w:hint="eastAsia" w:ascii="方正楷体_GBK" w:hAnsi="楷体" w:eastAsia="方正楷体_GBK" w:cs="仿宋"/>
          <w:b/>
          <w:bCs/>
          <w:sz w:val="32"/>
          <w:szCs w:val="32"/>
        </w:rPr>
        <w:t>（二）提供经费保障</w:t>
      </w:r>
    </w:p>
    <w:p>
      <w:pPr>
        <w:pStyle w:val="2"/>
        <w:adjustRightInd w:val="0"/>
        <w:snapToGrid w:val="0"/>
        <w:spacing w:before="0" w:beforeAutospacing="0" w:after="0" w:afterAutospacing="0" w:line="580" w:lineRule="atLeast"/>
        <w:ind w:firstLine="640" w:firstLineChars="200"/>
        <w:jc w:val="both"/>
        <w:rPr>
          <w:rFonts w:ascii="方正仿宋_GBK" w:hAnsi="仿宋" w:eastAsia="方正仿宋_GBK" w:cs="仿宋"/>
          <w:bCs/>
          <w:sz w:val="32"/>
          <w:szCs w:val="32"/>
        </w:rPr>
      </w:pPr>
      <w:r>
        <w:rPr>
          <w:rFonts w:hint="eastAsia" w:ascii="方正仿宋_GBK" w:hAnsi="仿宋" w:eastAsia="方正仿宋_GBK" w:cs="仿宋"/>
          <w:bCs/>
          <w:sz w:val="32"/>
          <w:szCs w:val="32"/>
        </w:rPr>
        <w:t>学院筹措经费，从事业收入中按6%提取的学生资助经费，内设勤工助学专项资金，制定资金使用与管理办法，按照专款专用的原则单独核算使用，确保学生参加校内勤工助学活动的劳务支出、勤工</w:t>
      </w:r>
      <w:r>
        <w:rPr>
          <w:rFonts w:hint="eastAsia" w:ascii="方正仿宋_GBK" w:hAnsi="仿宋" w:eastAsia="方正仿宋_GBK" w:cs="仿宋"/>
          <w:bCs/>
          <w:sz w:val="32"/>
          <w:szCs w:val="32"/>
          <w:highlight w:val="none"/>
        </w:rPr>
        <w:t>助学的基</w:t>
      </w:r>
      <w:r>
        <w:rPr>
          <w:rFonts w:hint="eastAsia" w:ascii="方正仿宋_GBK" w:hAnsi="仿宋" w:eastAsia="方正仿宋_GBK" w:cs="仿宋"/>
          <w:bCs/>
          <w:sz w:val="32"/>
          <w:szCs w:val="32"/>
        </w:rPr>
        <w:t>地建设、勤工助学活动的日常管理。每年我院学生勤工助学岗位资助金额在110</w:t>
      </w:r>
      <w:r>
        <w:rPr>
          <w:rFonts w:hint="eastAsia" w:ascii="方正仿宋_GBK" w:hAnsi="仿宋" w:eastAsia="方正仿宋_GBK" w:cs="仿宋"/>
          <w:bCs/>
          <w:sz w:val="32"/>
          <w:szCs w:val="32"/>
          <w:highlight w:val="none"/>
          <w:lang w:eastAsia="zh-CN"/>
        </w:rPr>
        <w:t>万元</w:t>
      </w:r>
      <w:r>
        <w:rPr>
          <w:rFonts w:hint="eastAsia" w:ascii="方正仿宋_GBK" w:hAnsi="仿宋" w:eastAsia="方正仿宋_GBK" w:cs="仿宋"/>
          <w:bCs/>
          <w:sz w:val="32"/>
          <w:szCs w:val="32"/>
        </w:rPr>
        <w:t>左右。</w:t>
      </w:r>
    </w:p>
    <w:p>
      <w:pPr>
        <w:adjustRightInd w:val="0"/>
        <w:snapToGrid w:val="0"/>
        <w:spacing w:line="580" w:lineRule="atLeast"/>
        <w:ind w:firstLine="643" w:firstLineChars="200"/>
        <w:rPr>
          <w:rFonts w:ascii="方正楷体_GBK" w:hAnsi="楷体" w:eastAsia="方正楷体_GBK" w:cs="仿宋"/>
          <w:b/>
          <w:bCs/>
          <w:kern w:val="0"/>
          <w:sz w:val="32"/>
          <w:szCs w:val="32"/>
        </w:rPr>
      </w:pPr>
      <w:r>
        <w:rPr>
          <w:rFonts w:hint="eastAsia" w:ascii="方正楷体_GBK" w:hAnsi="楷体" w:eastAsia="方正楷体_GBK" w:cs="仿宋"/>
          <w:b/>
          <w:bCs/>
          <w:kern w:val="0"/>
          <w:sz w:val="32"/>
          <w:szCs w:val="32"/>
        </w:rPr>
        <w:t>（三）加强规范管理</w:t>
      </w:r>
    </w:p>
    <w:p>
      <w:pPr>
        <w:adjustRightInd w:val="0"/>
        <w:snapToGrid w:val="0"/>
        <w:spacing w:line="580" w:lineRule="atLeast"/>
        <w:ind w:firstLine="640" w:firstLineChars="200"/>
        <w:rPr>
          <w:rFonts w:ascii="方正仿宋_GBK" w:hAnsi="仿宋" w:eastAsia="方正仿宋_GBK" w:cs="仿宋"/>
          <w:bCs/>
          <w:kern w:val="0"/>
          <w:sz w:val="32"/>
          <w:szCs w:val="32"/>
        </w:rPr>
      </w:pPr>
      <w:r>
        <w:rPr>
          <w:rFonts w:hint="eastAsia" w:ascii="方正仿宋_GBK" w:hAnsi="仿宋" w:eastAsia="方正仿宋_GBK" w:cs="仿宋"/>
          <w:bCs/>
          <w:kern w:val="0"/>
          <w:sz w:val="32"/>
          <w:szCs w:val="32"/>
        </w:rPr>
        <w:t>学院成立学生资助工作领导小组，全面领导统筹勤工助学工作。学生处学生资助管理中心具体负责勤工助学管理，建立家庭经济困难学生情况信息库和勤工助学学生档案，实行动态管理，优先为家庭经济困难学生提供勤工助学岗位。学院各部门在工作安排、人员配备、资金落实、办公场地、活动场所及助学岗位设置等方面予以大力支持，为学生勤工助学活动提供指导、服务和保障。</w:t>
      </w:r>
      <w:r>
        <w:rPr>
          <w:rFonts w:hint="eastAsia" w:ascii="方正仿宋_GBK" w:hAnsi="仿宋" w:eastAsia="方正仿宋_GBK"/>
          <w:bCs/>
          <w:sz w:val="32"/>
          <w:szCs w:val="32"/>
        </w:rPr>
        <w:t>用人部门负责勤工助学学生日常管理，对</w:t>
      </w:r>
      <w:r>
        <w:rPr>
          <w:rFonts w:hint="eastAsia" w:ascii="方正仿宋_GBK" w:hAnsi="仿宋" w:eastAsia="方正仿宋_GBK"/>
          <w:bCs/>
          <w:sz w:val="32"/>
          <w:szCs w:val="32"/>
          <w:highlight w:val="none"/>
        </w:rPr>
        <w:t>工作</w:t>
      </w:r>
      <w:r>
        <w:rPr>
          <w:rFonts w:hint="eastAsia" w:ascii="方正仿宋_GBK" w:hAnsi="仿宋" w:eastAsia="方正仿宋_GBK"/>
          <w:bCs/>
          <w:sz w:val="32"/>
          <w:szCs w:val="32"/>
        </w:rPr>
        <w:t>完成情况进行检查和验收，填报勤工助学岗位工作记录，作为发放勤工助学酬金和工作考核的依据，勤工助学学生酬金一律通过学生本人银行卡发放。</w:t>
      </w:r>
    </w:p>
    <w:p>
      <w:pPr>
        <w:widowControl/>
        <w:adjustRightInd w:val="0"/>
        <w:snapToGrid w:val="0"/>
        <w:spacing w:line="580" w:lineRule="atLeast"/>
        <w:ind w:firstLine="643" w:firstLineChars="200"/>
        <w:rPr>
          <w:rFonts w:ascii="方正楷体_GBK" w:hAnsi="楷体" w:eastAsia="方正楷体_GBK" w:cs="仿宋"/>
          <w:b/>
          <w:bCs/>
          <w:kern w:val="0"/>
          <w:sz w:val="32"/>
          <w:szCs w:val="32"/>
        </w:rPr>
      </w:pPr>
      <w:r>
        <w:rPr>
          <w:rFonts w:hint="eastAsia" w:ascii="方正楷体_GBK" w:hAnsi="楷体" w:eastAsia="方正楷体_GBK" w:cs="仿宋"/>
          <w:b/>
          <w:bCs/>
          <w:kern w:val="0"/>
          <w:sz w:val="32"/>
          <w:szCs w:val="32"/>
        </w:rPr>
        <w:t>（四）严格绩效考核</w:t>
      </w:r>
    </w:p>
    <w:p>
      <w:pPr>
        <w:widowControl/>
        <w:adjustRightInd w:val="0"/>
        <w:snapToGrid w:val="0"/>
        <w:spacing w:line="580" w:lineRule="atLeast"/>
        <w:ind w:firstLine="640" w:firstLineChars="200"/>
        <w:rPr>
          <w:rFonts w:ascii="方正仿宋_GBK" w:hAnsi="仿宋" w:eastAsia="方正仿宋_GBK"/>
          <w:bCs/>
          <w:sz w:val="32"/>
          <w:szCs w:val="32"/>
        </w:rPr>
      </w:pPr>
      <w:r>
        <w:rPr>
          <w:rFonts w:hint="eastAsia" w:ascii="方正仿宋_GBK" w:hAnsi="仿宋" w:eastAsia="方正仿宋_GBK" w:cs="仿宋"/>
          <w:bCs/>
          <w:sz w:val="32"/>
          <w:szCs w:val="32"/>
        </w:rPr>
        <w:t>学院创新勤工助学考核方式，加强勤工助学过程管理和日常考核，考核结果向勤工助学学生反馈，以考核促学生自我认知与能力发展，不断强化勤工助学资助育人作用。学院根据勤工助学岗位性质和工作内容，通过岗前培训考核、目标考核、过程管理和用人部门评价等实施绩效考核，激发勤工助学学生的工作投入度，培养学生爱岗敬业精神。每年6月，</w:t>
      </w:r>
      <w:r>
        <w:rPr>
          <w:rFonts w:hint="eastAsia" w:ascii="方正仿宋_GBK" w:hAnsi="仿宋" w:eastAsia="方正仿宋_GBK"/>
          <w:bCs/>
          <w:sz w:val="32"/>
          <w:szCs w:val="32"/>
        </w:rPr>
        <w:t>学院开展“勤工助学先进个人”评选表彰活动，按照参加勤工助学人数的20%比例，</w:t>
      </w:r>
      <w:r>
        <w:rPr>
          <w:rFonts w:hint="eastAsia" w:ascii="方正仿宋_GBK" w:hAnsi="仿宋" w:eastAsia="方正仿宋_GBK" w:cs="仿宋"/>
          <w:bCs/>
          <w:sz w:val="32"/>
          <w:szCs w:val="32"/>
        </w:rPr>
        <w:t>对该学年在勤工助学活动中表现突出的学生予以表彰和奖励，</w:t>
      </w:r>
      <w:r>
        <w:rPr>
          <w:rFonts w:hint="eastAsia" w:ascii="方正仿宋_GBK" w:hAnsi="仿宋" w:eastAsia="方正仿宋_GBK"/>
          <w:bCs/>
          <w:sz w:val="32"/>
          <w:szCs w:val="32"/>
        </w:rPr>
        <w:t>每人奖励500元，颁发荣誉证书，激励勤工助学学生争先创优。</w:t>
      </w:r>
    </w:p>
    <w:p>
      <w:pPr>
        <w:widowControl/>
        <w:adjustRightInd w:val="0"/>
        <w:snapToGrid w:val="0"/>
        <w:spacing w:line="580" w:lineRule="atLeast"/>
        <w:ind w:firstLine="640" w:firstLineChars="200"/>
        <w:rPr>
          <w:rFonts w:ascii="方正黑体_GBK" w:hAnsi="黑体" w:eastAsia="方正黑体_GBK" w:cs="仿宋"/>
          <w:bCs/>
          <w:kern w:val="0"/>
          <w:sz w:val="32"/>
          <w:szCs w:val="32"/>
        </w:rPr>
      </w:pPr>
      <w:r>
        <w:rPr>
          <w:rFonts w:hint="eastAsia" w:ascii="方正黑体_GBK" w:hAnsi="黑体" w:eastAsia="方正黑体_GBK" w:cs="仿宋"/>
          <w:bCs/>
          <w:kern w:val="0"/>
          <w:sz w:val="32"/>
          <w:szCs w:val="32"/>
        </w:rPr>
        <w:t>二、搭建勤工助学实践育人平台</w:t>
      </w:r>
    </w:p>
    <w:p>
      <w:pPr>
        <w:widowControl/>
        <w:adjustRightInd w:val="0"/>
        <w:snapToGrid w:val="0"/>
        <w:spacing w:line="580" w:lineRule="atLeast"/>
        <w:ind w:firstLine="643" w:firstLineChars="200"/>
        <w:rPr>
          <w:rFonts w:ascii="方正楷体_GBK" w:hAnsi="楷体" w:eastAsia="方正楷体_GBK" w:cs="仿宋"/>
          <w:b/>
          <w:bCs/>
          <w:kern w:val="0"/>
          <w:sz w:val="32"/>
          <w:szCs w:val="32"/>
        </w:rPr>
      </w:pPr>
      <w:r>
        <w:rPr>
          <w:rFonts w:hint="eastAsia" w:ascii="方正楷体_GBK" w:hAnsi="楷体" w:eastAsia="方正楷体_GBK" w:cs="仿宋"/>
          <w:b/>
          <w:bCs/>
          <w:kern w:val="0"/>
          <w:sz w:val="32"/>
          <w:szCs w:val="32"/>
        </w:rPr>
        <w:t>（一）科学合理设岗</w:t>
      </w:r>
    </w:p>
    <w:p>
      <w:pPr>
        <w:widowControl/>
        <w:adjustRightInd w:val="0"/>
        <w:snapToGrid w:val="0"/>
        <w:spacing w:line="580" w:lineRule="atLeast"/>
        <w:ind w:firstLine="640" w:firstLineChars="200"/>
        <w:rPr>
          <w:rFonts w:ascii="方正仿宋_GBK" w:hAnsi="仿宋" w:eastAsia="方正仿宋_GBK" w:cs="仿宋"/>
          <w:bCs/>
          <w:kern w:val="0"/>
          <w:sz w:val="32"/>
          <w:szCs w:val="32"/>
        </w:rPr>
      </w:pPr>
      <w:r>
        <w:rPr>
          <w:rFonts w:hint="eastAsia" w:ascii="方正仿宋_GBK" w:hAnsi="仿宋" w:eastAsia="方正仿宋_GBK" w:cs="仿宋"/>
          <w:bCs/>
          <w:kern w:val="0"/>
          <w:sz w:val="32"/>
          <w:szCs w:val="32"/>
        </w:rPr>
        <w:t>学院积极开发校内资源，保证学生参与勤工助学的需要，每学年由用人部门本着必要、适当的原则，申请设置勤工助学岗位，提出勤工助学岗位需求和工作要求，由学生处按照统筹兼顾、科学合理的原则设置勤工助学岗位，勤工助学岗位设置结合学生专业特点，既考虑满足学生需求，又保证学生不因参加勤工助学而影响学习。校内勤工助学岗位以学生</w:t>
      </w:r>
      <w:r>
        <w:rPr>
          <w:rFonts w:hint="eastAsia" w:ascii="方正仿宋_GBK" w:hAnsi="仿宋" w:eastAsia="方正仿宋_GBK" w:cs="仿宋"/>
          <w:bCs/>
          <w:kern w:val="0"/>
          <w:sz w:val="32"/>
          <w:szCs w:val="32"/>
          <w:highlight w:val="none"/>
        </w:rPr>
        <w:t>助管</w:t>
      </w:r>
      <w:r>
        <w:rPr>
          <w:rFonts w:hint="eastAsia" w:ascii="方正仿宋_GBK" w:hAnsi="仿宋" w:eastAsia="方正仿宋_GBK" w:cs="仿宋"/>
          <w:bCs/>
          <w:kern w:val="0"/>
          <w:sz w:val="32"/>
          <w:szCs w:val="32"/>
        </w:rPr>
        <w:t>岗位为主，协助做好教学管理、学生管理、实训室管理和公共服务等方面的工作。校内勤工助学岗位采取固定岗位和临时岗位相结合原则，固定岗位包括：教学管理、学生管理、实训室管理、图书管理、宿舍管理、餐饮管理、事务服务等学生助理岗位。学院组织大型集体活动时，由用人部门申请临时岗位。2019年，</w:t>
      </w:r>
      <w:r>
        <w:rPr>
          <w:rFonts w:hint="eastAsia" w:ascii="方正仿宋_GBK" w:hAnsi="仿宋" w:eastAsia="方正仿宋_GBK" w:cs="仿宋"/>
          <w:bCs/>
          <w:sz w:val="32"/>
          <w:szCs w:val="32"/>
        </w:rPr>
        <w:t>学院设置家庭经济困难学生勤工助学固定岗位132个、临时岗位2835个。</w:t>
      </w:r>
    </w:p>
    <w:p>
      <w:pPr>
        <w:adjustRightInd w:val="0"/>
        <w:snapToGrid w:val="0"/>
        <w:spacing w:line="580" w:lineRule="atLeast"/>
        <w:ind w:firstLine="643" w:firstLineChars="200"/>
        <w:rPr>
          <w:rFonts w:ascii="方正楷体_GBK" w:hAnsi="楷体" w:eastAsia="方正楷体_GBK" w:cs="仿宋"/>
          <w:b/>
          <w:bCs/>
          <w:kern w:val="0"/>
          <w:sz w:val="32"/>
          <w:szCs w:val="32"/>
        </w:rPr>
      </w:pPr>
      <w:r>
        <w:rPr>
          <w:rFonts w:hint="eastAsia" w:ascii="方正楷体_GBK" w:hAnsi="楷体" w:eastAsia="方正楷体_GBK" w:cs="仿宋"/>
          <w:b/>
          <w:bCs/>
          <w:kern w:val="0"/>
          <w:sz w:val="32"/>
          <w:szCs w:val="32"/>
        </w:rPr>
        <w:t>（二）坚持公开选聘</w:t>
      </w:r>
    </w:p>
    <w:p>
      <w:pPr>
        <w:adjustRightInd w:val="0"/>
        <w:snapToGrid w:val="0"/>
        <w:spacing w:line="580" w:lineRule="atLeast"/>
        <w:ind w:firstLine="640" w:firstLineChars="200"/>
        <w:rPr>
          <w:rFonts w:ascii="方正仿宋_GBK" w:hAnsi="仿宋" w:eastAsia="方正仿宋_GBK" w:cs="仿宋"/>
          <w:bCs/>
          <w:kern w:val="0"/>
          <w:sz w:val="32"/>
          <w:szCs w:val="32"/>
        </w:rPr>
      </w:pPr>
      <w:r>
        <w:rPr>
          <w:rFonts w:hint="eastAsia" w:ascii="方正仿宋_GBK" w:hAnsi="仿宋" w:eastAsia="方正仿宋_GBK" w:cs="仿宋"/>
          <w:bCs/>
          <w:kern w:val="0"/>
          <w:sz w:val="32"/>
          <w:szCs w:val="32"/>
        </w:rPr>
        <w:t>每年9月份，学生处面向学生发布勤工助学岗位需求信息，家庭经济困难学生通过智慧资助系统在线提交勤工助学岗位申请，学生处通过智慧资助系统大数据，精准掌握学生家庭经济情况，按照信息公开、竞争上岗、扶困优先的原则，为家庭经济困难学生优先提供竞聘勤工助学岗位机会，让贫困学生主动了解岗位设置情况，发挥专业特长，积极参与岗位竞争，增强岗位竞争意识，培养自立自强精神，通过自身努力在面试选拔中得到锻炼和提升，帮助他们增强自信，树立勇于面对困难的勇气。勤工助学学生助理岗位公开选聘，将“兜底助困”与“资助育人”有机结合，为家庭经济困难学生营造提前体验求职招聘的氛围，为未来就业积累宝贵经验。</w:t>
      </w:r>
    </w:p>
    <w:p>
      <w:pPr>
        <w:adjustRightInd w:val="0"/>
        <w:snapToGrid w:val="0"/>
        <w:spacing w:line="580" w:lineRule="atLeast"/>
        <w:ind w:firstLine="643" w:firstLineChars="200"/>
        <w:rPr>
          <w:rFonts w:ascii="方正楷体_GBK" w:hAnsi="楷体" w:eastAsia="方正楷体_GBK" w:cs="仿宋"/>
          <w:b/>
          <w:bCs/>
          <w:kern w:val="0"/>
          <w:sz w:val="32"/>
          <w:szCs w:val="32"/>
        </w:rPr>
      </w:pPr>
      <w:r>
        <w:rPr>
          <w:rFonts w:hint="eastAsia" w:ascii="方正楷体_GBK" w:hAnsi="楷体" w:eastAsia="方正楷体_GBK" w:cs="仿宋"/>
          <w:b/>
          <w:bCs/>
          <w:kern w:val="0"/>
          <w:sz w:val="32"/>
          <w:szCs w:val="32"/>
        </w:rPr>
        <w:t>（三）组织专题培训</w:t>
      </w:r>
    </w:p>
    <w:p>
      <w:pPr>
        <w:adjustRightInd w:val="0"/>
        <w:snapToGrid w:val="0"/>
        <w:spacing w:line="580" w:lineRule="atLeast"/>
        <w:ind w:firstLine="640" w:firstLineChars="200"/>
        <w:rPr>
          <w:rFonts w:ascii="方正仿宋_GBK" w:hAnsi="仿宋" w:eastAsia="方正仿宋_GBK" w:cs="仿宋"/>
          <w:bCs/>
          <w:kern w:val="0"/>
          <w:sz w:val="32"/>
          <w:szCs w:val="32"/>
        </w:rPr>
      </w:pPr>
      <w:r>
        <w:rPr>
          <w:rFonts w:hint="eastAsia" w:ascii="方正仿宋_GBK" w:hAnsi="仿宋" w:eastAsia="方正仿宋_GBK" w:cs="仿宋"/>
          <w:bCs/>
          <w:kern w:val="0"/>
          <w:sz w:val="32"/>
          <w:szCs w:val="32"/>
        </w:rPr>
        <w:t>学院将培训作为勤工助学培养机制的有效手段，根据学生成长发展需要，设置贴合工作实际的培训工作内容，提高勤工助学岗位培训的有效性和针对性。为此，学院实行两级培训制度，围绕“心理提升计划”和“励志强能计划”开展专题培训，帮助勤工助学的学生助理全面提升综合素养和实践工作能力。学生处根据勤工助学岗位需要，开设办公软件、公文写作、社交礼仪等岗前综合技能培训，同时为消除学生自卑心理，定期开展团体辅导，强化学生乐观积极心态、抗挫折能力的培养，促进学生心理健康发展；用人部门将岗位实践需求与专业能力提升相结合，开设沟通技巧、演讲与口才、法律维权、创业实践体验等励志强能专题培训，全面提高学生综合素养和职业技能。学生助理通过参与学院职业技能节、就业创业培训、职业技能大赛、校内外各项大型活动的组织服务工作，解决生活困难，提升实践能力，为学生发挥自身专业特长服务社会提供成长发展平台。</w:t>
      </w:r>
    </w:p>
    <w:p>
      <w:pPr>
        <w:widowControl/>
        <w:adjustRightInd w:val="0"/>
        <w:snapToGrid w:val="0"/>
        <w:spacing w:line="580" w:lineRule="atLeast"/>
        <w:ind w:firstLine="643" w:firstLineChars="200"/>
        <w:rPr>
          <w:rFonts w:ascii="方正楷体_GBK" w:hAnsi="楷体" w:eastAsia="方正楷体_GBK" w:cs="仿宋"/>
          <w:b/>
          <w:bCs/>
          <w:kern w:val="0"/>
          <w:sz w:val="32"/>
          <w:szCs w:val="32"/>
        </w:rPr>
      </w:pPr>
      <w:r>
        <w:rPr>
          <w:rFonts w:hint="eastAsia" w:ascii="方正楷体_GBK" w:hAnsi="楷体" w:eastAsia="方正楷体_GBK" w:cs="仿宋"/>
          <w:b/>
          <w:bCs/>
          <w:kern w:val="0"/>
          <w:sz w:val="32"/>
          <w:szCs w:val="32"/>
        </w:rPr>
        <w:t>（四）实施精准帮扶</w:t>
      </w:r>
    </w:p>
    <w:p>
      <w:pPr>
        <w:widowControl/>
        <w:adjustRightInd w:val="0"/>
        <w:snapToGrid w:val="0"/>
        <w:spacing w:line="580" w:lineRule="atLeast"/>
        <w:ind w:firstLine="640" w:firstLineChars="200"/>
        <w:rPr>
          <w:rFonts w:ascii="方正仿宋_GBK" w:hAnsi="仿宋" w:eastAsia="方正仿宋_GBK" w:cs="仿宋"/>
          <w:bCs/>
          <w:kern w:val="0"/>
          <w:sz w:val="32"/>
          <w:szCs w:val="32"/>
        </w:rPr>
      </w:pPr>
      <w:r>
        <w:rPr>
          <w:rFonts w:hint="eastAsia" w:ascii="方正仿宋_GBK" w:hAnsi="仿宋" w:eastAsia="方正仿宋_GBK" w:cs="仿宋"/>
          <w:bCs/>
          <w:kern w:val="0"/>
          <w:sz w:val="32"/>
          <w:szCs w:val="32"/>
        </w:rPr>
        <w:t>学院各用人部门为每一位勤工助学的学生助理安排专门指导老师，实行一对一帮扶指导，注重学生的思想品德教育，</w:t>
      </w:r>
      <w:r>
        <w:rPr>
          <w:rFonts w:hint="eastAsia" w:ascii="方正仿宋_GBK" w:hAnsi="仿宋" w:eastAsia="方正仿宋_GBK" w:cs="仿宋"/>
          <w:bCs/>
          <w:sz w:val="32"/>
          <w:szCs w:val="32"/>
        </w:rPr>
        <w:t>培养学生的自我约束能力、劳动意识和职业道德</w:t>
      </w:r>
      <w:r>
        <w:rPr>
          <w:rFonts w:hint="eastAsia" w:ascii="方正仿宋_GBK" w:hAnsi="仿宋" w:eastAsia="方正仿宋_GBK" w:cs="仿宋"/>
          <w:bCs/>
          <w:kern w:val="0"/>
          <w:sz w:val="32"/>
          <w:szCs w:val="32"/>
        </w:rPr>
        <w:t>，使他们在勤工助学中得到锻炼成长，提高动手能力、沟通能力和协调能力，如图书馆的学生助理，在图书整理中学习生活更加有条理，在热情接待读者中提升人际交往能力，在向读者推荐好书中营造“好读书、读好书”的良好氛围；学生公寓学生助理在协助做好学生宿舍管理服务中，更加懂得宿舍安全文明卫生的重要性，增强主人翁责任感，积极参与学生宿舍的自我管理和自我服务。通过勤工助学帮助学生树立正确的人生观、价值观和世界观，这些都将成为他们以后人生路上的宝贵财富。</w:t>
      </w:r>
    </w:p>
    <w:p>
      <w:pPr>
        <w:widowControl/>
        <w:adjustRightInd w:val="0"/>
        <w:snapToGrid w:val="0"/>
        <w:spacing w:line="580" w:lineRule="atLeast"/>
        <w:ind w:firstLine="640" w:firstLineChars="200"/>
        <w:rPr>
          <w:rFonts w:ascii="方正黑体_GBK" w:hAnsi="黑体" w:eastAsia="方正黑体_GBK" w:cs="仿宋"/>
          <w:bCs/>
          <w:kern w:val="0"/>
          <w:sz w:val="32"/>
          <w:szCs w:val="32"/>
        </w:rPr>
      </w:pPr>
      <w:r>
        <w:rPr>
          <w:rFonts w:hint="eastAsia" w:ascii="方正黑体_GBK" w:hAnsi="黑体" w:eastAsia="方正黑体_GBK" w:cs="仿宋"/>
          <w:bCs/>
          <w:kern w:val="0"/>
          <w:sz w:val="32"/>
          <w:szCs w:val="32"/>
        </w:rPr>
        <w:t>三、发挥勤工助学实践育人成效</w:t>
      </w:r>
    </w:p>
    <w:p>
      <w:pPr>
        <w:widowControl/>
        <w:adjustRightInd w:val="0"/>
        <w:snapToGrid w:val="0"/>
        <w:spacing w:line="580" w:lineRule="atLeast"/>
        <w:ind w:firstLine="643" w:firstLineChars="200"/>
        <w:rPr>
          <w:rFonts w:ascii="方正楷体_GBK" w:hAnsi="楷体" w:eastAsia="方正楷体_GBK" w:cs="仿宋"/>
          <w:b/>
          <w:bCs/>
          <w:kern w:val="0"/>
          <w:sz w:val="32"/>
          <w:szCs w:val="32"/>
        </w:rPr>
      </w:pPr>
      <w:r>
        <w:rPr>
          <w:rFonts w:hint="eastAsia" w:ascii="方正楷体_GBK" w:hAnsi="楷体" w:eastAsia="方正楷体_GBK" w:cs="仿宋"/>
          <w:b/>
          <w:bCs/>
          <w:kern w:val="0"/>
          <w:sz w:val="32"/>
          <w:szCs w:val="32"/>
        </w:rPr>
        <w:t>（一）锤炼过硬本领</w:t>
      </w:r>
    </w:p>
    <w:p>
      <w:pPr>
        <w:widowControl/>
        <w:adjustRightInd w:val="0"/>
        <w:snapToGrid w:val="0"/>
        <w:spacing w:line="580" w:lineRule="atLeast"/>
        <w:ind w:firstLine="640" w:firstLineChars="200"/>
        <w:rPr>
          <w:rFonts w:ascii="方正仿宋_GBK" w:hAnsi="仿宋" w:eastAsia="方正仿宋_GBK" w:cs="仿宋"/>
          <w:bCs/>
          <w:kern w:val="0"/>
          <w:sz w:val="32"/>
          <w:szCs w:val="32"/>
        </w:rPr>
      </w:pPr>
      <w:r>
        <w:rPr>
          <w:rFonts w:hint="eastAsia" w:ascii="方正仿宋_GBK" w:hAnsi="仿宋" w:eastAsia="方正仿宋_GBK" w:cs="仿宋"/>
          <w:bCs/>
          <w:kern w:val="0"/>
          <w:sz w:val="32"/>
          <w:szCs w:val="32"/>
        </w:rPr>
        <w:t>多年来，学院通过增设勤工助学岗位，为更多的家庭经济困难学生搭建实现梦想的平台，他们通过自己的劳动减轻家庭经济困难压力的同时，从工作实践中得到了学习和提升，将专业学习与岗位实践相结合，</w:t>
      </w:r>
      <w:r>
        <w:rPr>
          <w:rFonts w:hint="eastAsia" w:ascii="方正仿宋_GBK" w:hAnsi="仿宋" w:eastAsia="方正仿宋_GBK" w:cs="仿宋"/>
          <w:bCs/>
          <w:kern w:val="0"/>
          <w:sz w:val="32"/>
          <w:szCs w:val="32"/>
          <w:highlight w:val="none"/>
        </w:rPr>
        <w:t>开拓</w:t>
      </w:r>
      <w:r>
        <w:rPr>
          <w:rFonts w:hint="eastAsia" w:ascii="方正仿宋_GBK" w:hAnsi="仿宋" w:eastAsia="方正仿宋_GBK" w:cs="仿宋"/>
          <w:bCs/>
          <w:kern w:val="0"/>
          <w:sz w:val="32"/>
          <w:szCs w:val="32"/>
        </w:rPr>
        <w:t>创新创业思维，提升实践能力，实现自我提升，增长才华本领，放飞青春梦想，在勤工助学岗位培养出一批出类拔萃的优秀学子。</w:t>
      </w:r>
    </w:p>
    <w:p>
      <w:pPr>
        <w:widowControl/>
        <w:adjustRightInd w:val="0"/>
        <w:snapToGrid w:val="0"/>
        <w:spacing w:line="580" w:lineRule="atLeast"/>
        <w:ind w:firstLine="640" w:firstLineChars="200"/>
        <w:rPr>
          <w:rFonts w:ascii="方正仿宋_GBK" w:hAnsi="仿宋" w:eastAsia="方正仿宋_GBK" w:cs="仿宋"/>
          <w:bCs/>
          <w:kern w:val="0"/>
          <w:sz w:val="32"/>
          <w:szCs w:val="32"/>
        </w:rPr>
      </w:pPr>
      <w:r>
        <w:rPr>
          <w:rFonts w:hint="eastAsia" w:ascii="方正仿宋_GBK" w:hAnsi="仿宋" w:eastAsia="方正仿宋_GBK" w:cs="仿宋"/>
          <w:bCs/>
          <w:kern w:val="0"/>
          <w:sz w:val="32"/>
          <w:szCs w:val="32"/>
        </w:rPr>
        <w:t>李武劲同学，</w:t>
      </w:r>
      <w:r>
        <w:rPr>
          <w:rFonts w:hint="eastAsia" w:ascii="方正仿宋_GBK" w:hAnsi="仿宋" w:eastAsia="方正仿宋_GBK" w:cs="仿宋"/>
          <w:b/>
          <w:bCs/>
          <w:kern w:val="0"/>
          <w:sz w:val="32"/>
          <w:szCs w:val="32"/>
        </w:rPr>
        <w:t>2</w:t>
      </w:r>
      <w:r>
        <w:rPr>
          <w:rFonts w:hint="eastAsia" w:ascii="方正仿宋_GBK" w:hAnsi="仿宋" w:eastAsia="方正仿宋_GBK" w:cs="仿宋"/>
          <w:bCs/>
          <w:kern w:val="0"/>
          <w:sz w:val="32"/>
          <w:szCs w:val="32"/>
        </w:rPr>
        <w:t>018级物流管理专业学生，农村低保户家庭，入学后申请勤工助学，成为招生就业处大学生创新创业协会的学生助理，课余时间在老师的指导下，协助做好大学生创新创业培训和三创中心在园孵化项目的服务工作，在学院创业培训的管理服务工作中，将专业学习与提升创新创业能力相结合，积极参加全国大学生互联网+创新创业大赛，他参赛的“仓管家”项目专业特色突出，创业思路新颖，在2019年第五届全国互联网+创新创业大赛国赛现场，受到专家评委一致好评，最终在入围现场赛的60个全国职教院校参赛项目中，一举夺得职教赛道金奖，位列全国第三名。</w:t>
      </w:r>
    </w:p>
    <w:p>
      <w:pPr>
        <w:widowControl/>
        <w:adjustRightInd w:val="0"/>
        <w:snapToGrid w:val="0"/>
        <w:spacing w:line="580" w:lineRule="atLeast"/>
        <w:ind w:firstLine="640" w:firstLineChars="200"/>
        <w:rPr>
          <w:rFonts w:ascii="方正仿宋_GBK" w:hAnsi="仿宋" w:eastAsia="方正仿宋_GBK" w:cs="仿宋"/>
          <w:bCs/>
          <w:kern w:val="0"/>
          <w:sz w:val="32"/>
          <w:szCs w:val="32"/>
        </w:rPr>
      </w:pPr>
      <w:r>
        <w:rPr>
          <w:rFonts w:hint="eastAsia" w:ascii="方正仿宋_GBK" w:hAnsi="仿宋" w:eastAsia="方正仿宋_GBK" w:cs="仿宋"/>
          <w:bCs/>
          <w:kern w:val="0"/>
          <w:sz w:val="32"/>
          <w:szCs w:val="32"/>
        </w:rPr>
        <w:t>王志文同学， 2017级应用电子技术专业学生，入学后申请勤工助学，成为专业实训室的学生助理。在专业老师的悉心指导下，他自强不息、励志勤学、苦练技能、增长才干，在国赛省赛中崭露头角，获得2019年全国职业技能大赛“光伏电子工程的设计与实施赛”团体一等奖、省级赛团体一等奖，“TI杯2019年全国大学生电子设计竞赛”二等奖、省级</w:t>
      </w:r>
      <w:r>
        <w:rPr>
          <w:rFonts w:hint="eastAsia" w:ascii="方正仿宋_GBK" w:hAnsi="仿宋" w:eastAsia="方正仿宋_GBK" w:cs="仿宋"/>
          <w:bCs/>
          <w:kern w:val="0"/>
          <w:sz w:val="32"/>
          <w:szCs w:val="32"/>
          <w:lang w:val="en-US" w:eastAsia="zh-CN"/>
        </w:rPr>
        <w:t>赛区</w:t>
      </w:r>
      <w:r>
        <w:rPr>
          <w:rFonts w:hint="eastAsia" w:ascii="方正仿宋_GBK" w:hAnsi="仿宋" w:eastAsia="方正仿宋_GBK" w:cs="仿宋"/>
          <w:bCs/>
          <w:kern w:val="0"/>
          <w:sz w:val="32"/>
          <w:szCs w:val="32"/>
        </w:rPr>
        <w:t>一等奖等奖项。今年五四青年节，《人民日报》专版刊登《本专科生国家奖学金获奖学生代表名录》，展示6万名全国本专科生国家奖学金获奖学生中的110名优秀代表的风采，王志文同学和安徽农业大学曹寅同学名列其中，成为安徽省高校仅获此殊荣的优秀学生代表。</w:t>
      </w:r>
    </w:p>
    <w:tbl>
      <w:tblPr>
        <w:tblStyle w:val="4"/>
        <w:tblpPr w:leftFromText="180" w:rightFromText="180" w:vertAnchor="text" w:tblpX="-68" w:tblpY="214"/>
        <w:tblW w:w="9039" w:type="dxa"/>
        <w:tblInd w:w="0" w:type="dxa"/>
        <w:tblLayout w:type="fixed"/>
        <w:tblCellMar>
          <w:top w:w="0" w:type="dxa"/>
          <w:left w:w="108" w:type="dxa"/>
          <w:bottom w:w="0" w:type="dxa"/>
          <w:right w:w="108" w:type="dxa"/>
        </w:tblCellMar>
      </w:tblPr>
      <w:tblGrid>
        <w:gridCol w:w="618"/>
        <w:gridCol w:w="1071"/>
        <w:gridCol w:w="816"/>
        <w:gridCol w:w="4318"/>
        <w:gridCol w:w="2216"/>
      </w:tblGrid>
      <w:tr>
        <w:tblPrEx>
          <w:tblLayout w:type="fixed"/>
          <w:tblCellMar>
            <w:top w:w="0" w:type="dxa"/>
            <w:left w:w="108" w:type="dxa"/>
            <w:bottom w:w="0" w:type="dxa"/>
            <w:right w:w="108" w:type="dxa"/>
          </w:tblCellMar>
        </w:tblPrEx>
        <w:trPr>
          <w:trHeight w:val="480" w:hRule="atLeast"/>
        </w:trPr>
        <w:tc>
          <w:tcPr>
            <w:tcW w:w="6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b/>
                <w:bCs/>
                <w:color w:val="000000"/>
                <w:kern w:val="0"/>
                <w:sz w:val="20"/>
                <w:szCs w:val="20"/>
              </w:rPr>
            </w:pPr>
            <w:r>
              <w:rPr>
                <w:rFonts w:hint="eastAsia" w:ascii="方正仿宋_GBK" w:hAnsi="宋体" w:eastAsia="方正仿宋_GBK" w:cs="宋体"/>
                <w:b/>
                <w:bCs/>
                <w:color w:val="000000"/>
                <w:kern w:val="0"/>
                <w:sz w:val="20"/>
                <w:szCs w:val="20"/>
              </w:rPr>
              <w:t>序号</w:t>
            </w:r>
          </w:p>
        </w:tc>
        <w:tc>
          <w:tcPr>
            <w:tcW w:w="1071"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b/>
                <w:bCs/>
                <w:color w:val="000000"/>
                <w:kern w:val="0"/>
                <w:sz w:val="20"/>
                <w:szCs w:val="20"/>
              </w:rPr>
            </w:pPr>
            <w:r>
              <w:rPr>
                <w:rFonts w:hint="eastAsia" w:ascii="方正仿宋_GBK" w:hAnsi="宋体" w:eastAsia="方正仿宋_GBK" w:cs="宋体"/>
                <w:b/>
                <w:bCs/>
                <w:color w:val="000000"/>
                <w:kern w:val="0"/>
                <w:sz w:val="20"/>
                <w:szCs w:val="20"/>
              </w:rPr>
              <w:t>班级</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b/>
                <w:bCs/>
                <w:color w:val="000000"/>
                <w:kern w:val="0"/>
                <w:sz w:val="20"/>
                <w:szCs w:val="20"/>
              </w:rPr>
            </w:pPr>
            <w:r>
              <w:rPr>
                <w:rFonts w:hint="eastAsia" w:ascii="方正仿宋_GBK" w:hAnsi="宋体" w:eastAsia="方正仿宋_GBK" w:cs="宋体"/>
                <w:b/>
                <w:bCs/>
                <w:color w:val="000000"/>
                <w:kern w:val="0"/>
                <w:sz w:val="20"/>
                <w:szCs w:val="20"/>
              </w:rPr>
              <w:t>姓名</w:t>
            </w:r>
          </w:p>
        </w:tc>
        <w:tc>
          <w:tcPr>
            <w:tcW w:w="4318"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b/>
                <w:bCs/>
                <w:color w:val="000000"/>
                <w:kern w:val="0"/>
                <w:sz w:val="20"/>
                <w:szCs w:val="20"/>
              </w:rPr>
            </w:pPr>
            <w:r>
              <w:rPr>
                <w:rFonts w:hint="eastAsia" w:ascii="方正仿宋_GBK" w:hAnsi="宋体" w:eastAsia="方正仿宋_GBK" w:cs="宋体"/>
                <w:b/>
                <w:bCs/>
                <w:color w:val="000000"/>
                <w:kern w:val="0"/>
                <w:sz w:val="20"/>
                <w:szCs w:val="20"/>
              </w:rPr>
              <w:t>获得省级以上奖励</w:t>
            </w:r>
          </w:p>
        </w:tc>
        <w:tc>
          <w:tcPr>
            <w:tcW w:w="221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b/>
                <w:bCs/>
                <w:color w:val="000000"/>
                <w:kern w:val="0"/>
                <w:sz w:val="20"/>
                <w:szCs w:val="20"/>
              </w:rPr>
            </w:pPr>
            <w:r>
              <w:rPr>
                <w:rFonts w:hint="eastAsia" w:ascii="方正仿宋_GBK" w:hAnsi="宋体" w:eastAsia="方正仿宋_GBK" w:cs="宋体"/>
                <w:b/>
                <w:bCs/>
                <w:color w:val="000000"/>
                <w:kern w:val="0"/>
                <w:sz w:val="20"/>
                <w:szCs w:val="20"/>
              </w:rPr>
              <w:t>勤工助学岗位</w:t>
            </w:r>
          </w:p>
        </w:tc>
      </w:tr>
      <w:tr>
        <w:tblPrEx>
          <w:tblLayout w:type="fixed"/>
          <w:tblCellMar>
            <w:top w:w="0" w:type="dxa"/>
            <w:left w:w="108" w:type="dxa"/>
            <w:bottom w:w="0" w:type="dxa"/>
            <w:right w:w="108" w:type="dxa"/>
          </w:tblCellMar>
        </w:tblPrEx>
        <w:trPr>
          <w:trHeight w:val="420" w:hRule="atLeast"/>
        </w:trPr>
        <w:tc>
          <w:tcPr>
            <w:tcW w:w="618" w:type="dxa"/>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1</w:t>
            </w:r>
          </w:p>
        </w:tc>
        <w:tc>
          <w:tcPr>
            <w:tcW w:w="1071"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物流1802</w:t>
            </w:r>
          </w:p>
        </w:tc>
        <w:tc>
          <w:tcPr>
            <w:tcW w:w="81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李武劲</w:t>
            </w:r>
          </w:p>
        </w:tc>
        <w:tc>
          <w:tcPr>
            <w:tcW w:w="4318" w:type="dxa"/>
            <w:tcBorders>
              <w:top w:val="nil"/>
              <w:left w:val="nil"/>
              <w:bottom w:val="single" w:color="auto" w:sz="4" w:space="0"/>
              <w:right w:val="single" w:color="auto" w:sz="4" w:space="0"/>
            </w:tcBorders>
            <w:shd w:val="clear" w:color="auto" w:fill="auto"/>
            <w:vAlign w:val="center"/>
          </w:tcPr>
          <w:p>
            <w:pPr>
              <w:widowControl/>
              <w:adjustRightInd w:val="0"/>
              <w:snapToGrid w:val="0"/>
              <w:jc w:val="left"/>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第五届全国互联网+创新创业大赛金奖</w:t>
            </w:r>
          </w:p>
        </w:tc>
        <w:tc>
          <w:tcPr>
            <w:tcW w:w="221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创新创业协会学生助理</w:t>
            </w:r>
          </w:p>
        </w:tc>
      </w:tr>
      <w:tr>
        <w:tblPrEx>
          <w:tblLayout w:type="fixed"/>
          <w:tblCellMar>
            <w:top w:w="0" w:type="dxa"/>
            <w:left w:w="108" w:type="dxa"/>
            <w:bottom w:w="0" w:type="dxa"/>
            <w:right w:w="108" w:type="dxa"/>
          </w:tblCellMar>
        </w:tblPrEx>
        <w:trPr>
          <w:trHeight w:val="420" w:hRule="atLeast"/>
        </w:trPr>
        <w:tc>
          <w:tcPr>
            <w:tcW w:w="618" w:type="dxa"/>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2</w:t>
            </w:r>
          </w:p>
        </w:tc>
        <w:tc>
          <w:tcPr>
            <w:tcW w:w="1071"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电子1701</w:t>
            </w:r>
          </w:p>
        </w:tc>
        <w:tc>
          <w:tcPr>
            <w:tcW w:w="816" w:type="dxa"/>
            <w:tcBorders>
              <w:top w:val="nil"/>
              <w:left w:val="nil"/>
              <w:bottom w:val="single" w:color="auto" w:sz="4" w:space="0"/>
              <w:right w:val="single" w:color="auto" w:sz="4" w:space="0"/>
            </w:tcBorders>
            <w:shd w:val="clear" w:color="auto" w:fill="auto"/>
            <w:vAlign w:val="center"/>
          </w:tcPr>
          <w:p>
            <w:pPr>
              <w:widowControl/>
              <w:adjustRightInd w:val="0"/>
              <w:snapToGrid w:val="0"/>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王志文</w:t>
            </w:r>
          </w:p>
        </w:tc>
        <w:tc>
          <w:tcPr>
            <w:tcW w:w="4318" w:type="dxa"/>
            <w:tcBorders>
              <w:top w:val="nil"/>
              <w:left w:val="nil"/>
              <w:bottom w:val="single" w:color="auto" w:sz="4" w:space="0"/>
              <w:right w:val="single" w:color="auto" w:sz="4" w:space="0"/>
            </w:tcBorders>
            <w:shd w:val="clear" w:color="auto" w:fill="auto"/>
            <w:vAlign w:val="center"/>
          </w:tcPr>
          <w:p>
            <w:pPr>
              <w:widowControl/>
              <w:adjustRightInd w:val="0"/>
              <w:snapToGrid w:val="0"/>
              <w:jc w:val="left"/>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全国职业技能大赛光伏电子工程设计与实施赛项一等奖、2018-2019学年国家奖学金</w:t>
            </w:r>
          </w:p>
        </w:tc>
        <w:tc>
          <w:tcPr>
            <w:tcW w:w="221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等线" w:eastAsia="方正仿宋_GBK" w:cs="宋体"/>
                <w:color w:val="000000"/>
                <w:kern w:val="0"/>
                <w:sz w:val="20"/>
                <w:szCs w:val="20"/>
              </w:rPr>
            </w:pPr>
            <w:r>
              <w:rPr>
                <w:rFonts w:hint="eastAsia" w:ascii="方正仿宋_GBK" w:hAnsi="宋体" w:eastAsia="方正仿宋_GBK" w:cs="宋体"/>
                <w:color w:val="000000"/>
                <w:kern w:val="0"/>
                <w:sz w:val="20"/>
                <w:szCs w:val="20"/>
              </w:rPr>
              <w:t>电子实训室学生助理</w:t>
            </w:r>
          </w:p>
        </w:tc>
      </w:tr>
      <w:tr>
        <w:tblPrEx>
          <w:tblLayout w:type="fixed"/>
          <w:tblCellMar>
            <w:top w:w="0" w:type="dxa"/>
            <w:left w:w="108" w:type="dxa"/>
            <w:bottom w:w="0" w:type="dxa"/>
            <w:right w:w="108" w:type="dxa"/>
          </w:tblCellMar>
        </w:tblPrEx>
        <w:trPr>
          <w:trHeight w:val="420" w:hRule="atLeast"/>
        </w:trPr>
        <w:tc>
          <w:tcPr>
            <w:tcW w:w="618" w:type="dxa"/>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3</w:t>
            </w:r>
          </w:p>
        </w:tc>
        <w:tc>
          <w:tcPr>
            <w:tcW w:w="1071"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电子1701</w:t>
            </w:r>
          </w:p>
        </w:tc>
        <w:tc>
          <w:tcPr>
            <w:tcW w:w="81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王金金</w:t>
            </w:r>
          </w:p>
        </w:tc>
        <w:tc>
          <w:tcPr>
            <w:tcW w:w="4318" w:type="dxa"/>
            <w:tcBorders>
              <w:top w:val="nil"/>
              <w:left w:val="nil"/>
              <w:bottom w:val="single" w:color="auto" w:sz="4" w:space="0"/>
              <w:right w:val="single" w:color="auto" w:sz="4" w:space="0"/>
            </w:tcBorders>
            <w:shd w:val="clear" w:color="auto" w:fill="auto"/>
            <w:vAlign w:val="center"/>
          </w:tcPr>
          <w:p>
            <w:pPr>
              <w:widowControl/>
              <w:adjustRightInd w:val="0"/>
              <w:snapToGrid w:val="0"/>
              <w:jc w:val="left"/>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全国光伏电子工程设计技能大赛一等奖</w:t>
            </w:r>
          </w:p>
          <w:p>
            <w:pPr>
              <w:widowControl/>
              <w:adjustRightInd w:val="0"/>
              <w:snapToGrid w:val="0"/>
              <w:jc w:val="left"/>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2017-2018学年国家励志奖学金</w:t>
            </w:r>
          </w:p>
        </w:tc>
        <w:tc>
          <w:tcPr>
            <w:tcW w:w="221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光伏实训室学生助理</w:t>
            </w:r>
          </w:p>
        </w:tc>
      </w:tr>
      <w:tr>
        <w:tblPrEx>
          <w:tblLayout w:type="fixed"/>
          <w:tblCellMar>
            <w:top w:w="0" w:type="dxa"/>
            <w:left w:w="108" w:type="dxa"/>
            <w:bottom w:w="0" w:type="dxa"/>
            <w:right w:w="108" w:type="dxa"/>
          </w:tblCellMar>
        </w:tblPrEx>
        <w:trPr>
          <w:trHeight w:val="510" w:hRule="atLeast"/>
        </w:trPr>
        <w:tc>
          <w:tcPr>
            <w:tcW w:w="618" w:type="dxa"/>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4</w:t>
            </w:r>
          </w:p>
        </w:tc>
        <w:tc>
          <w:tcPr>
            <w:tcW w:w="1071"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营销1702</w:t>
            </w:r>
          </w:p>
        </w:tc>
        <w:tc>
          <w:tcPr>
            <w:tcW w:w="816" w:type="dxa"/>
            <w:tcBorders>
              <w:top w:val="nil"/>
              <w:left w:val="nil"/>
              <w:bottom w:val="single" w:color="auto" w:sz="4" w:space="0"/>
              <w:right w:val="single" w:color="auto" w:sz="4" w:space="0"/>
            </w:tcBorders>
            <w:shd w:val="clear" w:color="auto" w:fill="auto"/>
            <w:vAlign w:val="center"/>
          </w:tcPr>
          <w:p>
            <w:pPr>
              <w:widowControl/>
              <w:adjustRightInd w:val="0"/>
              <w:snapToGrid w:val="0"/>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陆润东</w:t>
            </w:r>
          </w:p>
        </w:tc>
        <w:tc>
          <w:tcPr>
            <w:tcW w:w="4318" w:type="dxa"/>
            <w:tcBorders>
              <w:top w:val="nil"/>
              <w:left w:val="nil"/>
              <w:bottom w:val="single" w:color="auto" w:sz="4" w:space="0"/>
              <w:right w:val="single" w:color="auto" w:sz="4" w:space="0"/>
            </w:tcBorders>
            <w:shd w:val="clear" w:color="auto" w:fill="auto"/>
            <w:vAlign w:val="center"/>
          </w:tcPr>
          <w:p>
            <w:pPr>
              <w:widowControl/>
              <w:adjustRightInd w:val="0"/>
              <w:snapToGrid w:val="0"/>
              <w:jc w:val="left"/>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2017-2018学年 国家励志奖学金</w:t>
            </w:r>
          </w:p>
          <w:p>
            <w:pPr>
              <w:widowControl/>
              <w:adjustRightInd w:val="0"/>
              <w:snapToGrid w:val="0"/>
              <w:jc w:val="left"/>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2018-2019学年 国家奖学金</w:t>
            </w:r>
          </w:p>
        </w:tc>
        <w:tc>
          <w:tcPr>
            <w:tcW w:w="221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等线" w:eastAsia="方正仿宋_GBK" w:cs="宋体"/>
                <w:color w:val="000000"/>
                <w:kern w:val="0"/>
                <w:sz w:val="20"/>
                <w:szCs w:val="20"/>
              </w:rPr>
            </w:pPr>
            <w:r>
              <w:rPr>
                <w:rFonts w:hint="eastAsia" w:ascii="方正仿宋_GBK" w:hAnsi="宋体" w:eastAsia="方正仿宋_GBK" w:cs="宋体"/>
                <w:color w:val="000000"/>
                <w:kern w:val="0"/>
                <w:sz w:val="20"/>
                <w:szCs w:val="20"/>
              </w:rPr>
              <w:t>图书馆学生助理</w:t>
            </w:r>
          </w:p>
        </w:tc>
      </w:tr>
      <w:tr>
        <w:tblPrEx>
          <w:tblLayout w:type="fixed"/>
          <w:tblCellMar>
            <w:top w:w="0" w:type="dxa"/>
            <w:left w:w="108" w:type="dxa"/>
            <w:bottom w:w="0" w:type="dxa"/>
            <w:right w:w="108" w:type="dxa"/>
          </w:tblCellMar>
        </w:tblPrEx>
        <w:trPr>
          <w:trHeight w:val="480" w:hRule="atLeast"/>
        </w:trPr>
        <w:tc>
          <w:tcPr>
            <w:tcW w:w="618" w:type="dxa"/>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5</w:t>
            </w:r>
          </w:p>
        </w:tc>
        <w:tc>
          <w:tcPr>
            <w:tcW w:w="1071"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营销1804</w:t>
            </w:r>
          </w:p>
        </w:tc>
        <w:tc>
          <w:tcPr>
            <w:tcW w:w="81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闫昌昌</w:t>
            </w:r>
          </w:p>
        </w:tc>
        <w:tc>
          <w:tcPr>
            <w:tcW w:w="4318" w:type="dxa"/>
            <w:tcBorders>
              <w:top w:val="nil"/>
              <w:left w:val="nil"/>
              <w:bottom w:val="single" w:color="auto" w:sz="4" w:space="0"/>
              <w:right w:val="single" w:color="auto" w:sz="4" w:space="0"/>
            </w:tcBorders>
            <w:shd w:val="clear" w:color="auto" w:fill="auto"/>
            <w:vAlign w:val="center"/>
          </w:tcPr>
          <w:p>
            <w:pPr>
              <w:widowControl/>
              <w:adjustRightInd w:val="0"/>
              <w:snapToGrid w:val="0"/>
              <w:jc w:val="left"/>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全国数字营销新零售技能大赛三等奖</w:t>
            </w:r>
            <w:r>
              <w:rPr>
                <w:rFonts w:hint="eastAsia" w:ascii="方正仿宋_GBK" w:hAnsi="宋体" w:eastAsia="方正仿宋_GBK" w:cs="宋体"/>
                <w:color w:val="000000"/>
                <w:kern w:val="0"/>
                <w:sz w:val="20"/>
                <w:szCs w:val="20"/>
              </w:rPr>
              <w:br w:type="textWrapping"/>
            </w:r>
            <w:r>
              <w:rPr>
                <w:rFonts w:hint="eastAsia" w:ascii="方正仿宋_GBK" w:hAnsi="宋体" w:eastAsia="方正仿宋_GBK" w:cs="宋体"/>
                <w:color w:val="000000"/>
                <w:kern w:val="0"/>
                <w:sz w:val="20"/>
                <w:szCs w:val="20"/>
              </w:rPr>
              <w:t>全国商务数据分析与应用技能大赛三等奖</w:t>
            </w:r>
          </w:p>
        </w:tc>
        <w:tc>
          <w:tcPr>
            <w:tcW w:w="221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电子商务协会学生助理</w:t>
            </w:r>
          </w:p>
        </w:tc>
      </w:tr>
      <w:tr>
        <w:tblPrEx>
          <w:tblLayout w:type="fixed"/>
          <w:tblCellMar>
            <w:top w:w="0" w:type="dxa"/>
            <w:left w:w="108" w:type="dxa"/>
            <w:bottom w:w="0" w:type="dxa"/>
            <w:right w:w="108" w:type="dxa"/>
          </w:tblCellMar>
        </w:tblPrEx>
        <w:trPr>
          <w:trHeight w:val="480" w:hRule="atLeast"/>
        </w:trPr>
        <w:tc>
          <w:tcPr>
            <w:tcW w:w="618" w:type="dxa"/>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6</w:t>
            </w:r>
          </w:p>
        </w:tc>
        <w:tc>
          <w:tcPr>
            <w:tcW w:w="1071"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房产1801</w:t>
            </w:r>
          </w:p>
        </w:tc>
        <w:tc>
          <w:tcPr>
            <w:tcW w:w="81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陶颖</w:t>
            </w:r>
          </w:p>
        </w:tc>
        <w:tc>
          <w:tcPr>
            <w:tcW w:w="4318" w:type="dxa"/>
            <w:tcBorders>
              <w:top w:val="nil"/>
              <w:left w:val="nil"/>
              <w:bottom w:val="single" w:color="auto" w:sz="4" w:space="0"/>
              <w:right w:val="single" w:color="auto" w:sz="4" w:space="0"/>
            </w:tcBorders>
            <w:shd w:val="clear" w:color="auto" w:fill="auto"/>
            <w:vAlign w:val="center"/>
          </w:tcPr>
          <w:p>
            <w:pPr>
              <w:widowControl/>
              <w:adjustRightInd w:val="0"/>
              <w:snapToGrid w:val="0"/>
              <w:jc w:val="left"/>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全国大学生房地产经营管理大赛三等奖</w:t>
            </w:r>
          </w:p>
        </w:tc>
        <w:tc>
          <w:tcPr>
            <w:tcW w:w="221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教学管理学生助理</w:t>
            </w:r>
          </w:p>
        </w:tc>
      </w:tr>
      <w:tr>
        <w:tblPrEx>
          <w:tblLayout w:type="fixed"/>
          <w:tblCellMar>
            <w:top w:w="0" w:type="dxa"/>
            <w:left w:w="108" w:type="dxa"/>
            <w:bottom w:w="0" w:type="dxa"/>
            <w:right w:w="108" w:type="dxa"/>
          </w:tblCellMar>
        </w:tblPrEx>
        <w:trPr>
          <w:trHeight w:val="480" w:hRule="atLeast"/>
        </w:trPr>
        <w:tc>
          <w:tcPr>
            <w:tcW w:w="618" w:type="dxa"/>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7</w:t>
            </w:r>
          </w:p>
        </w:tc>
        <w:tc>
          <w:tcPr>
            <w:tcW w:w="1071"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税务1802</w:t>
            </w:r>
          </w:p>
        </w:tc>
        <w:tc>
          <w:tcPr>
            <w:tcW w:w="81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周子龙</w:t>
            </w:r>
          </w:p>
        </w:tc>
        <w:tc>
          <w:tcPr>
            <w:tcW w:w="4318" w:type="dxa"/>
            <w:tcBorders>
              <w:top w:val="nil"/>
              <w:left w:val="nil"/>
              <w:bottom w:val="single" w:color="auto" w:sz="4" w:space="0"/>
              <w:right w:val="single" w:color="auto" w:sz="4" w:space="0"/>
            </w:tcBorders>
            <w:shd w:val="clear" w:color="auto" w:fill="auto"/>
            <w:vAlign w:val="center"/>
          </w:tcPr>
          <w:p>
            <w:pPr>
              <w:widowControl/>
              <w:adjustRightInd w:val="0"/>
              <w:snapToGrid w:val="0"/>
              <w:jc w:val="left"/>
              <w:rPr>
                <w:rFonts w:ascii="方正仿宋_GBK" w:hAnsi="宋体" w:eastAsia="方正仿宋_GBK" w:cs="宋体"/>
                <w:kern w:val="0"/>
                <w:sz w:val="20"/>
                <w:szCs w:val="20"/>
              </w:rPr>
            </w:pPr>
            <w:r>
              <w:rPr>
                <w:rFonts w:hint="eastAsia" w:ascii="方正仿宋_GBK" w:hAnsi="宋体" w:eastAsia="方正仿宋_GBK" w:cs="宋体"/>
                <w:kern w:val="0"/>
                <w:sz w:val="20"/>
                <w:szCs w:val="20"/>
              </w:rPr>
              <w:t>安徽省大学生金融投资创新大赛一等奖</w:t>
            </w:r>
            <w:r>
              <w:rPr>
                <w:rFonts w:hint="eastAsia" w:ascii="方正仿宋_GBK" w:hAnsi="宋体" w:eastAsia="方正仿宋_GBK" w:cs="宋体"/>
                <w:kern w:val="0"/>
                <w:sz w:val="20"/>
                <w:szCs w:val="20"/>
              </w:rPr>
              <w:br w:type="textWrapping"/>
            </w:r>
            <w:r>
              <w:rPr>
                <w:rFonts w:hint="eastAsia" w:ascii="方正仿宋_GBK" w:hAnsi="宋体" w:eastAsia="方正仿宋_GBK" w:cs="宋体"/>
                <w:kern w:val="0"/>
                <w:sz w:val="20"/>
                <w:szCs w:val="20"/>
              </w:rPr>
              <w:t>全国大学生管理决策模拟大赛省赛一等奖</w:t>
            </w:r>
          </w:p>
        </w:tc>
        <w:tc>
          <w:tcPr>
            <w:tcW w:w="221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金融实训室学生助理</w:t>
            </w:r>
          </w:p>
        </w:tc>
      </w:tr>
      <w:tr>
        <w:tblPrEx>
          <w:tblLayout w:type="fixed"/>
          <w:tblCellMar>
            <w:top w:w="0" w:type="dxa"/>
            <w:left w:w="108" w:type="dxa"/>
            <w:bottom w:w="0" w:type="dxa"/>
            <w:right w:w="108" w:type="dxa"/>
          </w:tblCellMar>
        </w:tblPrEx>
        <w:trPr>
          <w:trHeight w:val="480" w:hRule="atLeast"/>
        </w:trPr>
        <w:tc>
          <w:tcPr>
            <w:tcW w:w="618" w:type="dxa"/>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8</w:t>
            </w:r>
          </w:p>
        </w:tc>
        <w:tc>
          <w:tcPr>
            <w:tcW w:w="1071"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商英1803</w:t>
            </w:r>
          </w:p>
        </w:tc>
        <w:tc>
          <w:tcPr>
            <w:tcW w:w="81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臧楠楠</w:t>
            </w:r>
          </w:p>
        </w:tc>
        <w:tc>
          <w:tcPr>
            <w:tcW w:w="4318" w:type="dxa"/>
            <w:tcBorders>
              <w:top w:val="nil"/>
              <w:left w:val="nil"/>
              <w:bottom w:val="single" w:color="auto" w:sz="4" w:space="0"/>
              <w:right w:val="single" w:color="auto" w:sz="4" w:space="0"/>
            </w:tcBorders>
            <w:shd w:val="clear" w:color="auto" w:fill="auto"/>
            <w:vAlign w:val="center"/>
          </w:tcPr>
          <w:p>
            <w:pPr>
              <w:widowControl/>
              <w:adjustRightInd w:val="0"/>
              <w:snapToGrid w:val="0"/>
              <w:jc w:val="left"/>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第五届安徽省互联网＋创新创业大赛金奖</w:t>
            </w:r>
          </w:p>
        </w:tc>
        <w:tc>
          <w:tcPr>
            <w:tcW w:w="221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创新创业协会学生助理</w:t>
            </w:r>
          </w:p>
        </w:tc>
      </w:tr>
      <w:tr>
        <w:tblPrEx>
          <w:tblLayout w:type="fixed"/>
          <w:tblCellMar>
            <w:top w:w="0" w:type="dxa"/>
            <w:left w:w="108" w:type="dxa"/>
            <w:bottom w:w="0" w:type="dxa"/>
            <w:right w:w="108" w:type="dxa"/>
          </w:tblCellMar>
        </w:tblPrEx>
        <w:trPr>
          <w:trHeight w:val="480" w:hRule="atLeast"/>
        </w:trPr>
        <w:tc>
          <w:tcPr>
            <w:tcW w:w="618" w:type="dxa"/>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9</w:t>
            </w:r>
          </w:p>
        </w:tc>
        <w:tc>
          <w:tcPr>
            <w:tcW w:w="1071"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酒店1801</w:t>
            </w:r>
          </w:p>
        </w:tc>
        <w:tc>
          <w:tcPr>
            <w:tcW w:w="81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孙莹莹</w:t>
            </w:r>
          </w:p>
        </w:tc>
        <w:tc>
          <w:tcPr>
            <w:tcW w:w="4318" w:type="dxa"/>
            <w:tcBorders>
              <w:top w:val="nil"/>
              <w:left w:val="nil"/>
              <w:bottom w:val="single" w:color="auto" w:sz="4" w:space="0"/>
              <w:right w:val="single" w:color="auto" w:sz="4" w:space="0"/>
            </w:tcBorders>
            <w:shd w:val="clear" w:color="auto" w:fill="auto"/>
            <w:vAlign w:val="center"/>
          </w:tcPr>
          <w:p>
            <w:pPr>
              <w:widowControl/>
              <w:adjustRightInd w:val="0"/>
              <w:snapToGrid w:val="0"/>
              <w:jc w:val="left"/>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第五届安徽省互联网＋创新创业大赛金奖</w:t>
            </w:r>
          </w:p>
        </w:tc>
        <w:tc>
          <w:tcPr>
            <w:tcW w:w="221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创新创业协会学生助理</w:t>
            </w:r>
          </w:p>
        </w:tc>
      </w:tr>
      <w:tr>
        <w:tblPrEx>
          <w:tblLayout w:type="fixed"/>
          <w:tblCellMar>
            <w:top w:w="0" w:type="dxa"/>
            <w:left w:w="108" w:type="dxa"/>
            <w:bottom w:w="0" w:type="dxa"/>
            <w:right w:w="108" w:type="dxa"/>
          </w:tblCellMar>
        </w:tblPrEx>
        <w:trPr>
          <w:trHeight w:val="459" w:hRule="atLeast"/>
        </w:trPr>
        <w:tc>
          <w:tcPr>
            <w:tcW w:w="618" w:type="dxa"/>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10</w:t>
            </w:r>
          </w:p>
        </w:tc>
        <w:tc>
          <w:tcPr>
            <w:tcW w:w="1071"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软件1802</w:t>
            </w:r>
          </w:p>
        </w:tc>
        <w:tc>
          <w:tcPr>
            <w:tcW w:w="81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罗瑞靖</w:t>
            </w:r>
          </w:p>
        </w:tc>
        <w:tc>
          <w:tcPr>
            <w:tcW w:w="4318" w:type="dxa"/>
            <w:tcBorders>
              <w:top w:val="nil"/>
              <w:left w:val="nil"/>
              <w:bottom w:val="single" w:color="auto" w:sz="4" w:space="0"/>
              <w:right w:val="single" w:color="auto" w:sz="4" w:space="0"/>
            </w:tcBorders>
            <w:shd w:val="clear" w:color="auto" w:fill="auto"/>
            <w:vAlign w:val="center"/>
          </w:tcPr>
          <w:p>
            <w:pPr>
              <w:widowControl/>
              <w:adjustRightInd w:val="0"/>
              <w:snapToGrid w:val="0"/>
              <w:jc w:val="left"/>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安徽省技能大赛程序设计赛项一等奖</w:t>
            </w:r>
          </w:p>
        </w:tc>
        <w:tc>
          <w:tcPr>
            <w:tcW w:w="221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方正仿宋_GBK" w:hAnsi="宋体" w:eastAsia="方正仿宋_GBK" w:cs="宋体"/>
                <w:color w:val="000000"/>
                <w:kern w:val="0"/>
                <w:sz w:val="20"/>
                <w:szCs w:val="20"/>
              </w:rPr>
            </w:pPr>
            <w:r>
              <w:rPr>
                <w:rFonts w:hint="eastAsia" w:ascii="方正仿宋_GBK" w:hAnsi="宋体" w:eastAsia="方正仿宋_GBK" w:cs="宋体"/>
                <w:color w:val="000000"/>
                <w:kern w:val="0"/>
                <w:sz w:val="20"/>
                <w:szCs w:val="20"/>
              </w:rPr>
              <w:t>软件实训室学生助理</w:t>
            </w:r>
          </w:p>
        </w:tc>
      </w:tr>
    </w:tbl>
    <w:p>
      <w:pPr>
        <w:adjustRightInd w:val="0"/>
        <w:snapToGrid w:val="0"/>
        <w:spacing w:line="580" w:lineRule="atLeast"/>
        <w:ind w:firstLine="643" w:firstLineChars="200"/>
        <w:rPr>
          <w:rFonts w:ascii="方正楷体_GBK" w:hAnsi="楷体" w:eastAsia="方正楷体_GBK" w:cs="仿宋"/>
          <w:b/>
          <w:bCs/>
          <w:kern w:val="0"/>
          <w:sz w:val="32"/>
          <w:szCs w:val="32"/>
        </w:rPr>
      </w:pPr>
      <w:r>
        <w:rPr>
          <w:rFonts w:hint="eastAsia" w:ascii="方正楷体_GBK" w:hAnsi="楷体" w:eastAsia="方正楷体_GBK" w:cs="仿宋"/>
          <w:b/>
          <w:bCs/>
          <w:kern w:val="0"/>
          <w:sz w:val="32"/>
          <w:szCs w:val="32"/>
        </w:rPr>
        <w:t>（二）感恩回馈社会</w:t>
      </w:r>
    </w:p>
    <w:p>
      <w:pPr>
        <w:adjustRightInd w:val="0"/>
        <w:snapToGrid w:val="0"/>
        <w:spacing w:line="580" w:lineRule="atLeast"/>
        <w:ind w:firstLine="640" w:firstLineChars="200"/>
        <w:rPr>
          <w:rFonts w:ascii="方正仿宋_GBK" w:hAnsi="仿宋" w:eastAsia="方正仿宋_GBK" w:cs="宋体"/>
          <w:bCs/>
          <w:color w:val="000000" w:themeColor="text1"/>
          <w:kern w:val="0"/>
          <w:sz w:val="32"/>
          <w:szCs w:val="32"/>
          <w14:textFill>
            <w14:solidFill>
              <w14:schemeClr w14:val="tx1"/>
            </w14:solidFill>
          </w14:textFill>
        </w:rPr>
      </w:pPr>
      <w:r>
        <w:rPr>
          <w:rFonts w:hint="eastAsia" w:ascii="方正仿宋_GBK" w:hAnsi="仿宋" w:eastAsia="方正仿宋_GBK" w:cs="宋体"/>
          <w:bCs/>
          <w:color w:val="000000" w:themeColor="text1"/>
          <w:kern w:val="0"/>
          <w:sz w:val="32"/>
          <w:szCs w:val="32"/>
          <w14:textFill>
            <w14:solidFill>
              <w14:schemeClr w14:val="tx1"/>
            </w14:solidFill>
          </w14:textFill>
        </w:rPr>
        <w:t>学院坚持将立德树人贯穿勤工助学资助工作全过程，以丰富实践教育活动为着力点，将家庭经济困难学生能力培养和精神提升相结合，通过公益助学岗位将实践育人与大学生志愿服务有机融合，勤工助学学生与其他受助学生以实际行动感恩回馈社会。2019年，2465名受助学生参加大学生暑期“三下乡”社会实践活动，我院荣获优秀组织奖、优秀团队、优秀调研报告二等奖；2600余名受助学生积极参加“青春志愿行”社会实践服务活动，走进天天向上康复中心、思语儿童康复中心、城西桥养老服务中心、合肥南站、太和县孙寨小学等开展志愿服务活动；每年有百余名受助学生参加无偿献血活动，累计献血量超60000毫升。他们用实际行动践行社会责任，感恩传承回报社会。</w:t>
      </w:r>
    </w:p>
    <w:p>
      <w:pPr>
        <w:adjustRightInd w:val="0"/>
        <w:snapToGrid w:val="0"/>
        <w:spacing w:line="580" w:lineRule="atLeast"/>
        <w:ind w:firstLine="643" w:firstLineChars="200"/>
        <w:rPr>
          <w:rFonts w:ascii="方正楷体_GBK" w:hAnsi="楷体" w:eastAsia="方正楷体_GBK" w:cs="仿宋"/>
          <w:b/>
          <w:bCs/>
          <w:color w:val="000000" w:themeColor="text1"/>
          <w:kern w:val="0"/>
          <w:sz w:val="32"/>
          <w:szCs w:val="32"/>
          <w14:textFill>
            <w14:solidFill>
              <w14:schemeClr w14:val="tx1"/>
            </w14:solidFill>
          </w14:textFill>
        </w:rPr>
      </w:pPr>
      <w:r>
        <w:rPr>
          <w:rFonts w:hint="eastAsia" w:ascii="方正楷体_GBK" w:hAnsi="楷体" w:eastAsia="方正楷体_GBK" w:cs="仿宋"/>
          <w:b/>
          <w:bCs/>
          <w:color w:val="000000" w:themeColor="text1"/>
          <w:kern w:val="0"/>
          <w:sz w:val="32"/>
          <w:szCs w:val="32"/>
          <w14:textFill>
            <w14:solidFill>
              <w14:schemeClr w14:val="tx1"/>
            </w14:solidFill>
          </w14:textFill>
        </w:rPr>
        <w:t>（三）彰显资助育人</w:t>
      </w:r>
    </w:p>
    <w:p>
      <w:pPr>
        <w:adjustRightInd w:val="0"/>
        <w:snapToGrid w:val="0"/>
        <w:spacing w:line="580" w:lineRule="atLeast"/>
        <w:ind w:firstLine="640" w:firstLineChars="200"/>
        <w:rPr>
          <w:rFonts w:ascii="方正仿宋_GBK" w:hAnsi="仿宋" w:eastAsia="方正仿宋_GBK"/>
          <w:color w:val="000000" w:themeColor="text1"/>
          <w:sz w:val="32"/>
          <w:szCs w:val="32"/>
          <w14:textFill>
            <w14:solidFill>
              <w14:schemeClr w14:val="tx1"/>
            </w14:solidFill>
          </w14:textFill>
        </w:rPr>
      </w:pPr>
      <w:r>
        <w:rPr>
          <w:rFonts w:hint="eastAsia" w:ascii="方正仿宋_GBK" w:hAnsi="仿宋" w:eastAsia="方正仿宋_GBK"/>
          <w:color w:val="000000" w:themeColor="text1"/>
          <w:sz w:val="32"/>
          <w:szCs w:val="32"/>
          <w14:textFill>
            <w14:solidFill>
              <w14:schemeClr w14:val="tx1"/>
            </w14:solidFill>
          </w14:textFill>
        </w:rPr>
        <w:t>学院重视学生资助工作，强化资助育人理念，把“立德树人”根本任务融入学生资助全过程，将勤工助学作为促进家庭经济困难学生成长和发展的重要途径和载体，构建物质帮助、道德浸润、能力拓展、精神激励有效融合的资助育人长效机制，抓好励志教育、诚信教育、感恩教育和社会责任感教育，以精准资助为基础，以资助育人为导向，抓牢做实勤工助学工作，充分发挥勤工助学育人作用，学生资助育人工作取得显著成效。学院连续多年荣获“安徽省学生资助工作先进单位”，荣获全国第四届“助学·筑梦·铸人”主题宣传活动“优秀组织奖”，荣获全国学生资助工作“推荐学习单位”等称号。</w:t>
      </w:r>
    </w:p>
    <w:p>
      <w:pPr>
        <w:widowControl/>
        <w:shd w:val="clear" w:color="auto" w:fill="FFFFFF"/>
        <w:adjustRightInd w:val="0"/>
        <w:snapToGrid w:val="0"/>
        <w:spacing w:line="580" w:lineRule="atLeast"/>
        <w:ind w:firstLine="640" w:firstLineChars="200"/>
        <w:rPr>
          <w:rFonts w:hint="eastAsia" w:ascii="方正仿宋_GBK" w:hAnsi="仿宋" w:eastAsia="方正仿宋_GBK"/>
          <w:color w:val="000000" w:themeColor="text1"/>
          <w:sz w:val="32"/>
          <w:szCs w:val="32"/>
          <w14:textFill>
            <w14:solidFill>
              <w14:schemeClr w14:val="tx1"/>
            </w14:solidFill>
          </w14:textFill>
        </w:rPr>
      </w:pPr>
      <w:r>
        <w:rPr>
          <w:rFonts w:hint="eastAsia" w:ascii="方正仿宋_GBK" w:hAnsi="仿宋" w:eastAsia="方正仿宋_GBK"/>
          <w:color w:val="000000" w:themeColor="text1"/>
          <w:sz w:val="32"/>
          <w:szCs w:val="32"/>
          <w14:textFill>
            <w14:solidFill>
              <w14:schemeClr w14:val="tx1"/>
            </w14:solidFill>
          </w14:textFill>
        </w:rPr>
        <w:t>学院坚持以习近平新时代中国特色社会主义思想为指导，贯彻落实习近平关于教育工作的重要论述，加强资助育人理论研究，充分挖掘勤工助学在“三全育人”中的载体功能，建立校内勤工助学的有效运转模式，实现学生资助工作由“保障型资助”向引导学生成长的“发展型资助”转变，以智慧资助服务学生成长成才，培养学生厚植爱国情怀，担当历史重任，在实现中华民族伟大复兴中国梦的奋斗中书写青春华章。</w:t>
      </w:r>
    </w:p>
    <w:p>
      <w:pPr>
        <w:widowControl/>
        <w:shd w:val="clear" w:color="auto" w:fill="FFFFFF"/>
        <w:adjustRightInd w:val="0"/>
        <w:snapToGrid w:val="0"/>
        <w:spacing w:line="580" w:lineRule="atLeast"/>
        <w:ind w:firstLine="640" w:firstLineChars="200"/>
        <w:rPr>
          <w:rFonts w:hint="eastAsia" w:ascii="方正仿宋_GBK" w:hAnsi="仿宋" w:eastAsia="方正仿宋_GBK"/>
          <w:color w:val="000000" w:themeColor="text1"/>
          <w:sz w:val="32"/>
          <w:szCs w:val="32"/>
          <w14:textFill>
            <w14:solidFill>
              <w14:schemeClr w14:val="tx1"/>
            </w14:solidFill>
          </w14:textFill>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Malgun Gothic Semilight">
    <w:altName w:val="宋体"/>
    <w:panose1 w:val="020B0502040204020203"/>
    <w:charset w:val="86"/>
    <w:family w:val="swiss"/>
    <w:pitch w:val="default"/>
    <w:sig w:usb0="00000000" w:usb1="00000000" w:usb2="00000012" w:usb3="00000000" w:csb0="203E01BD" w:csb1="D7FF0000"/>
  </w:font>
  <w:font w:name="等线">
    <w:panose1 w:val="02010600030101010101"/>
    <w:charset w:val="86"/>
    <w:family w:val="auto"/>
    <w:pitch w:val="default"/>
    <w:sig w:usb0="A00002BF" w:usb1="38CF7CFA" w:usb2="00000016" w:usb3="00000000" w:csb0="0004000F" w:csb1="00000000"/>
  </w:font>
  <w:font w:name="华光楷体_CNKI">
    <w:altName w:val="宋体"/>
    <w:panose1 w:val="00000000000000000000"/>
    <w:charset w:val="00"/>
    <w:family w:val="auto"/>
    <w:pitch w:val="default"/>
    <w:sig w:usb0="00000000" w:usb1="00000000" w:usb2="00000000" w:usb3="00000000" w:csb0="00000000" w:csb1="00000000"/>
  </w:font>
  <w:font w:name="方正仿宋">
    <w:altName w:val="宋体"/>
    <w:panose1 w:val="00000000000000000000"/>
    <w:charset w:val="86"/>
    <w:family w:val="roman"/>
    <w:pitch w:val="default"/>
    <w:sig w:usb0="00000000" w:usb1="00000000" w:usb2="00000000" w:usb3="00000000" w:csb0="00000000" w:csb1="00000000"/>
  </w:font>
  <w:font w:name="方正小标宋">
    <w:altName w:val="宋体"/>
    <w:panose1 w:val="00000000000000000000"/>
    <w:charset w:val="86"/>
    <w:family w:val="roman"/>
    <w:pitch w:val="default"/>
    <w:sig w:usb0="00000000" w:usb1="00000000" w:usb2="00000000" w:usb3="00000000" w:csb0="00000000" w:csb1="00000000"/>
  </w:font>
  <w:font w:name="方正楷体">
    <w:altName w:val="宋体"/>
    <w:panose1 w:val="00000000000000000000"/>
    <w:charset w:val="86"/>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A020A7"/>
    <w:rsid w:val="09663730"/>
    <w:rsid w:val="1C073AF1"/>
    <w:rsid w:val="1FA020A7"/>
    <w:rsid w:val="44280C00"/>
    <w:rsid w:val="78516A9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2021-03-18T07:59:00Z</dcterms:created>
  <dc:creator>张坤</dc:creator>
  <cp:lastModifiedBy>张坤</cp:lastModifiedBy>
  <dcterms:modified xsi:type="dcterms:W3CDTF">2021-03-18T09:19:36Z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