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18C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4"/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名称：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安徽职业技术大学</w:t>
      </w:r>
    </w:p>
    <w:p w14:paraId="34D5C95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4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地址：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安徽省合肥市新站区文忠路2600号</w:t>
      </w:r>
    </w:p>
    <w:p w14:paraId="29440A1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4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邮编：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230011</w:t>
      </w:r>
    </w:p>
    <w:p w14:paraId="4FFC60F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4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电话：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0551-64689888</w:t>
      </w:r>
    </w:p>
    <w:p w14:paraId="6DB2E39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4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开户行：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中国农业银行合肥龙岗支行</w:t>
      </w:r>
    </w:p>
    <w:p w14:paraId="047B596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4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开户行联行号：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103361028020</w:t>
      </w:r>
    </w:p>
    <w:p w14:paraId="72EF762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4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账号：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12280201040012838</w:t>
      </w:r>
    </w:p>
    <w:p w14:paraId="25B0CC0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4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统一社会信用代码：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12340000485000024Q</w:t>
      </w:r>
    </w:p>
    <w:p w14:paraId="773F0AC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      </w:t>
      </w:r>
    </w:p>
    <w:p w14:paraId="4767A21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       说明：我校为一般纳税人，符合增值税抵扣条件的项目在取得增值税专用发票后可进行抵扣，减少增值税款。</w:t>
      </w:r>
    </w:p>
    <w:p w14:paraId="1794D91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       原则上，除了个人消费、集体福利性质的消费（如餐饮服务、食品）不可开具增值税专用发票外，其他经济事项（如住宿费、办公用品、实训室耗材、固定资产、建筑工程项目、咨询服务、广告宣传服务、课题费、论文版面费等支出）均应获取增值税专用发票。</w:t>
      </w:r>
      <w:bookmarkStart w:id="0" w:name="_GoBack"/>
      <w:bookmarkEnd w:id="0"/>
    </w:p>
    <w:p w14:paraId="2217AF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80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2026-10-10T06:28:26Z</dcterms:created>
  <dc:creator>Administrator</dc:creator>
  <cp:lastModifiedBy>SH</cp:lastModifiedBy>
  <dcterms:modified xsi:type="dcterms:W3CDTF">2026-10-10T06:28:35Z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eyJoZGlkIjoiY2Q2MTIxOWI0NzFlZDZjM2ViYzI3MmJjNTdlNzE3YTkiLCJ1c2VySWQiOiI0NDMzODkxOTgifQ==</vt:lpwstr>
  </property>
  <property fmtid="{D5CDD505-2E9C-101B-9397-08002B2CF9AE}" pid="4" name="ICV">
    <vt:lpwstr>2D7D7193B10B43A19D8F1B50EDBAC691_12</vt:lpwstr>
  </property>
</Properties>
</file>