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0"/>
        <w:jc w:val="center"/>
        <w:rPr>
          <w:rFonts w:ascii="微软雅黑" w:hAnsi="微软雅黑" w:eastAsia="微软雅黑" w:cs="微软雅黑"/>
          <w:i w:val="0"/>
          <w:iCs w:val="0"/>
          <w:caps w:val="0"/>
          <w:color w:val="333333"/>
          <w:spacing w:val="0"/>
          <w:sz w:val="18"/>
          <w:szCs w:val="18"/>
        </w:rPr>
      </w:pPr>
      <w:r>
        <w:rPr>
          <w:rStyle w:val="5"/>
          <w:rFonts w:ascii="黑体" w:hAnsi="宋体" w:eastAsia="黑体" w:cs="黑体"/>
          <w:i w:val="0"/>
          <w:iCs w:val="0"/>
          <w:caps w:val="0"/>
          <w:color w:val="000000"/>
          <w:spacing w:val="0"/>
          <w:sz w:val="43"/>
          <w:szCs w:val="43"/>
          <w:bdr w:val="none" w:color="auto" w:sz="0" w:space="0"/>
          <w:shd w:val="clear" w:fill="FFFFFF"/>
        </w:rPr>
        <w:t>安徽职业技术学院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0"/>
        <w:jc w:val="center"/>
        <w:rPr>
          <w:rFonts w:hint="eastAsia" w:ascii="微软雅黑" w:hAnsi="微软雅黑" w:eastAsia="微软雅黑" w:cs="微软雅黑"/>
          <w:i w:val="0"/>
          <w:iCs w:val="0"/>
          <w:caps w:val="0"/>
          <w:color w:val="333333"/>
          <w:spacing w:val="0"/>
          <w:sz w:val="18"/>
          <w:szCs w:val="18"/>
        </w:rPr>
      </w:pPr>
      <w:r>
        <w:rPr>
          <w:rStyle w:val="5"/>
          <w:rFonts w:hint="eastAsia" w:ascii="黑体" w:hAnsi="宋体" w:eastAsia="黑体" w:cs="黑体"/>
          <w:i w:val="0"/>
          <w:iCs w:val="0"/>
          <w:caps w:val="0"/>
          <w:color w:val="000000"/>
          <w:spacing w:val="0"/>
          <w:sz w:val="43"/>
          <w:szCs w:val="43"/>
          <w:bdr w:val="none" w:color="auto" w:sz="0" w:space="0"/>
          <w:shd w:val="clear" w:fill="FFFFFF"/>
        </w:rPr>
        <w:t>2021年高职扩招招生章程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ascii="楷体_gb2312" w:hAnsi="楷体_gb2312" w:eastAsia="楷体_gb2312" w:cs="楷体_gb2312"/>
          <w:i w:val="0"/>
          <w:iCs w:val="0"/>
          <w:caps w:val="0"/>
          <w:color w:val="000000"/>
          <w:spacing w:val="0"/>
          <w:sz w:val="27"/>
          <w:szCs w:val="27"/>
          <w:bdr w:val="none" w:color="auto" w:sz="0" w:space="0"/>
          <w:shd w:val="clear" w:fill="FFFFFF"/>
        </w:rPr>
        <w:t>一、学校全称：</w:t>
      </w:r>
      <w:r>
        <w:rPr>
          <w:rFonts w:hint="default" w:ascii="楷体_gb2312" w:hAnsi="楷体_gb2312" w:eastAsia="楷体_gb2312" w:cs="楷体_gb2312"/>
          <w:i w:val="0"/>
          <w:iCs w:val="0"/>
          <w:caps w:val="0"/>
          <w:color w:val="000000"/>
          <w:spacing w:val="0"/>
          <w:sz w:val="27"/>
          <w:szCs w:val="27"/>
          <w:bdr w:val="none" w:color="auto" w:sz="0" w:space="0"/>
          <w:shd w:val="clear" w:fill="FFFFFF"/>
        </w:rPr>
        <w:t>安徽职业技术学院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二、办学层次：</w:t>
      </w:r>
      <w:r>
        <w:rPr>
          <w:rFonts w:hint="default" w:ascii="楷体_gb2312" w:hAnsi="楷体_gb2312" w:eastAsia="楷体_gb2312" w:cs="楷体_gb2312"/>
          <w:i w:val="0"/>
          <w:iCs w:val="0"/>
          <w:caps w:val="0"/>
          <w:color w:val="000000"/>
          <w:spacing w:val="0"/>
          <w:sz w:val="27"/>
          <w:szCs w:val="27"/>
          <w:bdr w:val="none" w:color="auto" w:sz="0" w:space="0"/>
          <w:shd w:val="clear" w:fill="FFFFFF"/>
        </w:rPr>
        <w:t>专科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三、办学地址：</w:t>
      </w:r>
      <w:r>
        <w:rPr>
          <w:rFonts w:hint="default" w:ascii="楷体_gb2312" w:hAnsi="楷体_gb2312" w:eastAsia="楷体_gb2312" w:cs="楷体_gb2312"/>
          <w:i w:val="0"/>
          <w:iCs w:val="0"/>
          <w:caps w:val="0"/>
          <w:color w:val="333333"/>
          <w:spacing w:val="0"/>
          <w:sz w:val="27"/>
          <w:szCs w:val="27"/>
          <w:bdr w:val="none" w:color="auto" w:sz="0" w:space="0"/>
          <w:shd w:val="clear" w:fill="FFFFFF"/>
        </w:rPr>
        <w:t>合肥市新站区文忠路2600号（邮编230011）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四、办学类型：</w:t>
      </w:r>
      <w:r>
        <w:rPr>
          <w:rFonts w:hint="default" w:ascii="楷体_gb2312" w:hAnsi="楷体_gb2312" w:eastAsia="楷体_gb2312" w:cs="楷体_gb2312"/>
          <w:i w:val="0"/>
          <w:iCs w:val="0"/>
          <w:caps w:val="0"/>
          <w:color w:val="333333"/>
          <w:spacing w:val="0"/>
          <w:sz w:val="27"/>
          <w:szCs w:val="27"/>
          <w:bdr w:val="none" w:color="auto" w:sz="0" w:space="0"/>
          <w:shd w:val="clear" w:fill="FFFFFF"/>
        </w:rPr>
        <w:t>公办国家示范性高等职业院校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五、招生专业及计划：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jc w:val="left"/>
        <w:rPr>
          <w:rFonts w:hint="eastAsia" w:ascii="楷体_gb2312" w:hAnsi="楷体_gb2312" w:eastAsia="楷体_gb2312" w:cs="楷体_gb2312"/>
          <w:i w:val="0"/>
          <w:iCs w:val="0"/>
          <w:caps w:val="0"/>
          <w:color w:val="333333"/>
          <w:spacing w:val="0"/>
          <w:sz w:val="27"/>
          <w:szCs w:val="27"/>
          <w:shd w:val="clear" w:fill="FFFFFF"/>
        </w:rPr>
      </w:pPr>
      <w:r>
        <w:rPr>
          <w:rFonts w:hint="default" w:ascii="楷体_gb2312" w:hAnsi="楷体_gb2312" w:eastAsia="楷体_gb2312" w:cs="楷体_gb2312"/>
          <w:i w:val="0"/>
          <w:iCs w:val="0"/>
          <w:caps w:val="0"/>
          <w:color w:val="333333"/>
          <w:spacing w:val="0"/>
          <w:sz w:val="27"/>
          <w:szCs w:val="27"/>
          <w:shd w:val="clear" w:fill="FFFFFF"/>
        </w:rPr>
        <w:t>2021年我校高职扩招指导性计划300人，招生专业详见下表。</w:t>
      </w:r>
    </w:p>
    <w:tbl>
      <w:tblPr>
        <w:tblStyle w:val="3"/>
        <w:tblpPr w:leftFromText="180" w:rightFromText="180" w:vertAnchor="text" w:horzAnchor="page" w:tblpX="2039" w:tblpY="171"/>
        <w:tblOverlap w:val="never"/>
        <w:tblW w:w="8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85"/>
        <w:gridCol w:w="1574"/>
        <w:gridCol w:w="1064"/>
        <w:gridCol w:w="1064"/>
        <w:gridCol w:w="1239"/>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7" w:hRule="atLeast"/>
        </w:trPr>
        <w:tc>
          <w:tcPr>
            <w:tcW w:w="238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333333"/>
                <w:spacing w:val="0"/>
                <w:sz w:val="24"/>
                <w:szCs w:val="24"/>
              </w:rPr>
              <w:t>专业名称</w:t>
            </w:r>
          </w:p>
        </w:tc>
        <w:tc>
          <w:tcPr>
            <w:tcW w:w="157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333333"/>
                <w:spacing w:val="0"/>
                <w:sz w:val="24"/>
                <w:szCs w:val="24"/>
              </w:rPr>
              <w:t>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333333"/>
                <w:spacing w:val="0"/>
                <w:sz w:val="24"/>
                <w:szCs w:val="24"/>
              </w:rPr>
              <w:t>（元/学年）</w:t>
            </w:r>
          </w:p>
        </w:tc>
        <w:tc>
          <w:tcPr>
            <w:tcW w:w="478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333333"/>
                <w:spacing w:val="0"/>
                <w:sz w:val="24"/>
                <w:szCs w:val="24"/>
              </w:rPr>
              <w:t>招生对象及计划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4" w:hRule="atLeast"/>
        </w:trPr>
        <w:tc>
          <w:tcPr>
            <w:tcW w:w="23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333333"/>
                <w:spacing w:val="0"/>
                <w:sz w:val="18"/>
                <w:szCs w:val="18"/>
              </w:rPr>
            </w:pPr>
          </w:p>
        </w:tc>
        <w:tc>
          <w:tcPr>
            <w:tcW w:w="157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333333"/>
                <w:spacing w:val="0"/>
                <w:sz w:val="18"/>
                <w:szCs w:val="18"/>
              </w:rPr>
            </w:pP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000000"/>
                <w:spacing w:val="0"/>
                <w:sz w:val="24"/>
                <w:szCs w:val="24"/>
              </w:rPr>
              <w:t>计划</w:t>
            </w:r>
            <w:r>
              <w:rPr>
                <w:rStyle w:val="5"/>
                <w:rFonts w:hint="default" w:ascii="楷体_gb2312" w:hAnsi="楷体_gb2312" w:eastAsia="楷体_gb2312" w:cs="楷体_gb2312"/>
                <w:i w:val="0"/>
                <w:iCs w:val="0"/>
                <w:caps w:val="0"/>
                <w:color w:val="333333"/>
                <w:spacing w:val="0"/>
                <w:sz w:val="24"/>
                <w:szCs w:val="24"/>
              </w:rPr>
              <w:t>合计</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000000"/>
                <w:spacing w:val="0"/>
                <w:sz w:val="24"/>
                <w:szCs w:val="24"/>
              </w:rPr>
              <w:t>退役</w:t>
            </w:r>
            <w:r>
              <w:rPr>
                <w:rStyle w:val="5"/>
                <w:rFonts w:hint="default" w:ascii="楷体_gb2312" w:hAnsi="楷体_gb2312" w:eastAsia="楷体_gb2312" w:cs="楷体_gb2312"/>
                <w:i w:val="0"/>
                <w:iCs w:val="0"/>
                <w:caps w:val="0"/>
                <w:color w:val="333333"/>
                <w:spacing w:val="0"/>
                <w:sz w:val="24"/>
                <w:szCs w:val="24"/>
              </w:rPr>
              <w:t>军人</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000000"/>
                <w:spacing w:val="0"/>
                <w:sz w:val="24"/>
                <w:szCs w:val="24"/>
              </w:rPr>
              <w:t>新入伍士兵</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000000"/>
                <w:spacing w:val="0"/>
                <w:sz w:val="24"/>
                <w:szCs w:val="24"/>
              </w:rPr>
              <w:t>其他社会人员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市场营销</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3500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4"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酒店管理与数字化运营</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3500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计算机应用技术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机电一体化技术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机械制造及自动化</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应用化工技术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建筑工程技术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汽车检测与维修技术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安全技术与管理</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5</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trPr>
        <w:tc>
          <w:tcPr>
            <w:tcW w:w="23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建筑消防技术</w:t>
            </w:r>
          </w:p>
        </w:tc>
        <w:tc>
          <w:tcPr>
            <w:tcW w:w="157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000000"/>
                <w:spacing w:val="0"/>
                <w:sz w:val="24"/>
                <w:szCs w:val="24"/>
              </w:rPr>
              <w:t>3900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8"/>
                <w:szCs w:val="18"/>
              </w:rPr>
            </w:pP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atLeast"/>
        </w:trPr>
        <w:tc>
          <w:tcPr>
            <w:tcW w:w="3959"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楷体_gb2312" w:hAnsi="楷体_gb2312" w:eastAsia="楷体_gb2312" w:cs="楷体_gb2312"/>
                <w:i w:val="0"/>
                <w:iCs w:val="0"/>
                <w:caps w:val="0"/>
                <w:color w:val="000000"/>
                <w:spacing w:val="0"/>
                <w:sz w:val="24"/>
                <w:szCs w:val="24"/>
              </w:rPr>
              <w:t>合计</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300</w:t>
            </w:r>
          </w:p>
        </w:tc>
        <w:tc>
          <w:tcPr>
            <w:tcW w:w="106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80</w:t>
            </w:r>
          </w:p>
        </w:tc>
        <w:tc>
          <w:tcPr>
            <w:tcW w:w="12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30</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楷体_gb2312" w:hAnsi="楷体_gb2312" w:eastAsia="楷体_gb2312" w:cs="楷体_gb2312"/>
                <w:i w:val="0"/>
                <w:iCs w:val="0"/>
                <w:caps w:val="0"/>
                <w:color w:val="333333"/>
                <w:spacing w:val="0"/>
                <w:sz w:val="24"/>
                <w:szCs w:val="24"/>
              </w:rPr>
              <w:t>190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rPr>
      </w:pPr>
      <w:r>
        <w:rPr>
          <w:rFonts w:ascii="楷体" w:hAnsi="楷体" w:eastAsia="楷体" w:cs="楷体"/>
          <w:i w:val="0"/>
          <w:iCs w:val="0"/>
          <w:caps w:val="0"/>
          <w:color w:val="333333"/>
          <w:spacing w:val="0"/>
          <w:sz w:val="16"/>
          <w:szCs w:val="16"/>
          <w:bdr w:val="none" w:color="auto" w:sz="0" w:space="0"/>
          <w:shd w:val="clear" w:fill="FFFFFF"/>
        </w:rPr>
        <w:t>（注：</w:t>
      </w:r>
      <w:r>
        <w:rPr>
          <w:rFonts w:hint="eastAsia" w:ascii="楷体" w:hAnsi="楷体" w:eastAsia="楷体" w:cs="楷体"/>
          <w:i w:val="0"/>
          <w:iCs w:val="0"/>
          <w:caps w:val="0"/>
          <w:color w:val="333333"/>
          <w:spacing w:val="0"/>
          <w:sz w:val="16"/>
          <w:szCs w:val="16"/>
          <w:bdr w:val="none" w:color="auto" w:sz="0" w:space="0"/>
          <w:shd w:val="clear" w:fill="FFFFFF"/>
        </w:rPr>
        <w:t>2021年我校面向社会人员开展全日制学历教育招生总计划以最终教育厅下达为准）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118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六、报考条件：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（一）具有本省户籍或在皖务工（需提供 6 个月以上劳动合同证明），具有高中阶段学历或同等学力及以上的退役军人、农民工、下岗工人、高素质农民、灵活就业人员、基层农技人员、企事业单位在岗职工、村两委干部以及革命老区专项计划、一村一名大学生人才培养工程、农民工“求学圆梦行动”等相关培养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（二）具有本省学籍且未参加 2021 年高考（含我省高职分类考试招生、五年一贯制、高职三二分段招生等）报名或已参加 2021 年高考（含我省高职分类考试招生、五年一贯制、高职三二分段招生等）报名但未被高校录取的高中阶段（含普通高中、中等职业学校&lt;技工院校&gt;）应历届毕业生等群体。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七、报名及资格审核：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（一）全省统一网上报名及志愿填报：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1.考生在报名时即填报志愿。考生须先登录“安徽政务服务网”（https://www.ahzwfw.gov.cn/）进行用户注册，然后点击首页“高职扩招”进入报名信息填报页面。考生在网上签订诚信考试承诺书后，根据页面提示录入个人信息，并使用微信“扫一扫”功能扫描报名网页上的二维码自行采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2.参加高职扩招的各类考生报名时段为 2021年9月15日至17日，考生可选择填报不超过 3 所院校，每所院校可选择一个专业志愿。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3.已报名参加2021年普通高校招生考试的考生无需再次报名，只需填报志愿，但已被普通高校招生录取的考生不得报名；2021年高职扩招录取的考生将不能参加2022年普通高校招生统一考试（含 2022年高职分类考试、对口招生等各类特殊类型招生）报名。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考生须仔细阅读报名须知和填报项目说明，真实、准确、完整地填写所有项目。个人报名信息填写完毕并核对无误确认后方可提交。报名信息一旦提交，任何人不得修改。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报名流程详见安徽省教育招生考试院官方网站（</w:t>
      </w:r>
      <w:r>
        <w:rPr>
          <w:rFonts w:hint="default" w:ascii="楷体_gb2312" w:hAnsi="楷体_gb2312" w:eastAsia="楷体_gb2312" w:cs="楷体_gb2312"/>
          <w:i w:val="0"/>
          <w:iCs w:val="0"/>
          <w:caps w:val="0"/>
          <w:color w:val="00000A"/>
          <w:spacing w:val="0"/>
          <w:sz w:val="27"/>
          <w:szCs w:val="27"/>
          <w:u w:val="none"/>
          <w:bdr w:val="none" w:color="auto" w:sz="0" w:space="0"/>
          <w:shd w:val="clear" w:fill="FFFFFF"/>
        </w:rPr>
        <w:t>www.ahzsks.cn</w:t>
      </w:r>
      <w:r>
        <w:rPr>
          <w:rFonts w:hint="default" w:ascii="楷体_gb2312" w:hAnsi="楷体_gb2312" w:eastAsia="楷体_gb2312" w:cs="楷体_gb2312"/>
          <w:i w:val="0"/>
          <w:iCs w:val="0"/>
          <w:caps w:val="0"/>
          <w:color w:val="000000"/>
          <w:spacing w:val="0"/>
          <w:sz w:val="27"/>
          <w:szCs w:val="27"/>
          <w:bdr w:val="none" w:color="auto" w:sz="0" w:space="0"/>
          <w:shd w:val="clear" w:fill="FFFFFF"/>
        </w:rPr>
        <w:t>）公告栏或微信公众号。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考生于</w:t>
      </w:r>
      <w:r>
        <w:rPr>
          <w:rFonts w:hint="default" w:ascii="楷体_gb2312" w:hAnsi="楷体_gb2312" w:eastAsia="楷体_gb2312" w:cs="楷体_gb2312"/>
          <w:i w:val="0"/>
          <w:iCs w:val="0"/>
          <w:caps w:val="0"/>
          <w:color w:val="000000"/>
          <w:spacing w:val="0"/>
          <w:sz w:val="27"/>
          <w:szCs w:val="27"/>
          <w:bdr w:val="none" w:color="auto" w:sz="0" w:space="0"/>
          <w:shd w:val="clear" w:fill="FFFFFF"/>
        </w:rPr>
        <w:t>2021年9月18日9:00至9月21日17:00</w:t>
      </w:r>
      <w:r>
        <w:rPr>
          <w:rFonts w:hint="default" w:ascii="楷体_gb2312" w:hAnsi="楷体_gb2312" w:eastAsia="楷体_gb2312" w:cs="楷体_gb2312"/>
          <w:i w:val="0"/>
          <w:iCs w:val="0"/>
          <w:caps w:val="0"/>
          <w:color w:val="333333"/>
          <w:spacing w:val="0"/>
          <w:sz w:val="27"/>
          <w:szCs w:val="27"/>
          <w:bdr w:val="none" w:color="auto" w:sz="0" w:space="0"/>
          <w:shd w:val="clear" w:fill="FFFFFF"/>
        </w:rPr>
        <w:t>登录我校面向社会人员招生考生服务平台（http://zs.uta.edu.cn）在线提交审核材料，须提交审核材料如下：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1.户籍证明：身份证正反面照片、户口本考生户口页照片。非皖籍考生还需提供在皖6个月以上劳动合同、工作证明、工资发放单或社保证明等照片。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2.学历（学力）证明：高中阶段（或以上）学历证书或同等学力证明照片。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3.考生类别证明：退役军人需提供退出现役证照片。其他人员则根据考生报名时填报的类别，提供相关证明材料照片，如下岗证，务工证，土地承包证等照片。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考生本人应对提交材料真实性负责，由材料真实性引发的一切后果由考生本人承担。考生应当准备并保存好上述材料的复印件，新生入学报到时提交。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八、入学测试办法：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（一）测试方式：</w:t>
      </w:r>
      <w:r>
        <w:rPr>
          <w:rFonts w:hint="default" w:ascii="楷体_gb2312" w:hAnsi="楷体_gb2312" w:eastAsia="楷体_gb2312" w:cs="楷体_gb2312"/>
          <w:i w:val="0"/>
          <w:iCs w:val="0"/>
          <w:caps w:val="0"/>
          <w:color w:val="000000"/>
          <w:spacing w:val="0"/>
          <w:sz w:val="27"/>
          <w:szCs w:val="27"/>
          <w:bdr w:val="none" w:color="auto" w:sz="0" w:space="0"/>
          <w:shd w:val="clear" w:fill="FFFFFF"/>
        </w:rPr>
        <w:t>采用“文化素质+职业适应性（技能）测试”的方式进行入学测试。为适应新冠肺炎疫情防控的需要，测试均采用线上测试的方式进行。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（二）测试办法：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文化素质测试，为合格性测试，考试内容为语文、数学、英语。三科合卷，总分300分，其中语文学科120分，数学学科120分，英语学科60分。职业适应性（技能）测试，为选拔性测试，总分100分。文化素质测试与职业适应性（技能）测试均为笔试（线上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退役军人、下岗工人、农民工、高素质农民等符合国家政策规定的特殊群体考生（以下简称一类考生）免于文化素质测试，须参加学校组织的选拔性职业适应性（技能）测试。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其他考生（以下简称二类考生），须参加学校组织的合格性的文化素质测试和选拔性的职业适应性（技能）测试。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（三）测试时间：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一类考生和二类考生，9月23日登录考生服务平台，下载准考证。9月24日上午，二类考生参加文化素质测试。9月24日下午，一类、二类考生参加职业适应性（技能）测试。具体考试时间、登录网址、用户名、密码见准考证。9月29日前，公示一类考生和二类考生预录取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jc w:val="left"/>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九、录取办法：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（一）录取规则：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1.所有考生均依据职业适应性测试（职业技能测试）成绩从高分到低分按报考类别和专业分别录取。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2.依据各类别、专业学校划定文化素质测试合格线，不合格的考生不予录取。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3.录取过程针对报考类别、专业间生源不平衡情况，在保证不突破学校总计划的基础上，为保证更多考生获得预录取资格，同时提高学校的录取率，学校经招生委员会讨论研究，在保证公平公正的前提下，根据考生志愿填报情况和成绩分布情况，可以进行类别与专业计划间的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（二）录取确认：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1.学校预录取：</w:t>
      </w:r>
      <w:r>
        <w:rPr>
          <w:rFonts w:hint="default" w:ascii="楷体_gb2312" w:hAnsi="楷体_gb2312" w:eastAsia="楷体_gb2312" w:cs="楷体_gb2312"/>
          <w:b w:val="0"/>
          <w:bCs w:val="0"/>
          <w:i w:val="0"/>
          <w:iCs w:val="0"/>
          <w:caps w:val="0"/>
          <w:color w:val="00000A"/>
          <w:spacing w:val="0"/>
          <w:sz w:val="27"/>
          <w:szCs w:val="27"/>
          <w:bdr w:val="none" w:color="auto" w:sz="0" w:space="0"/>
          <w:shd w:val="clear" w:fill="FFFFFF"/>
        </w:rPr>
        <w:t>一类、二类考生于2021年9月29前，我校将依据招生计划确定预录取考生名单，并在我校招生网公示。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2.考生录取确认：一类、二类被预录取的考生须在</w:t>
      </w:r>
      <w:r>
        <w:rPr>
          <w:rFonts w:hint="default" w:ascii="楷体_gb2312" w:hAnsi="楷体_gb2312" w:eastAsia="楷体_gb2312" w:cs="楷体_gb2312"/>
          <w:b w:val="0"/>
          <w:bCs w:val="0"/>
          <w:i w:val="0"/>
          <w:iCs w:val="0"/>
          <w:caps w:val="0"/>
          <w:color w:val="00000A"/>
          <w:spacing w:val="0"/>
          <w:sz w:val="27"/>
          <w:szCs w:val="27"/>
          <w:bdr w:val="none" w:color="auto" w:sz="0" w:space="0"/>
          <w:shd w:val="clear" w:fill="FFFFFF"/>
        </w:rPr>
        <w:t>2021年10月11日至12日</w:t>
      </w: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登录省考试院指定网站进行录取确认。被多所院校预录取的考生只能选择一所院校确认录取，一经确认，任何人不得更改。已被预录取但未网上确认的考生将视为放弃录取资格。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jc w:val="both"/>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确认办法将通过安徽省教育招生考试院官方网站（www.ahzsks.cn）公告栏和微信公众号发布。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十、学籍管理：</w:t>
      </w:r>
      <w:r>
        <w:rPr>
          <w:rFonts w:hint="default" w:ascii="楷体_gb2312" w:hAnsi="楷体_gb2312" w:eastAsia="楷体_gb2312" w:cs="楷体_gb2312"/>
          <w:i w:val="0"/>
          <w:iCs w:val="0"/>
          <w:caps w:val="0"/>
          <w:color w:val="000000"/>
          <w:spacing w:val="0"/>
          <w:sz w:val="27"/>
          <w:szCs w:val="27"/>
          <w:bdr w:val="none" w:color="auto" w:sz="0" w:space="0"/>
          <w:shd w:val="clear" w:fill="FFFFFF"/>
        </w:rPr>
        <w:t>按照《普通高等学校学生管理规定》,学校对新生入学资格进行初步审查，审查合格的办理入学手续，学生应当按照学校规定时间办理入学注册手续;不能如期注册的,应当履行暂缓注册手续。未按学校规定缴纳学费或者有其他不符合</w:t>
      </w:r>
      <w:bookmarkStart w:id="1" w:name="_GoBack"/>
      <w:bookmarkEnd w:id="1"/>
      <w:r>
        <w:rPr>
          <w:rFonts w:hint="default" w:ascii="楷体_gb2312" w:hAnsi="楷体_gb2312" w:eastAsia="楷体_gb2312" w:cs="楷体_gb2312"/>
          <w:i w:val="0"/>
          <w:iCs w:val="0"/>
          <w:caps w:val="0"/>
          <w:color w:val="000000"/>
          <w:spacing w:val="0"/>
          <w:sz w:val="27"/>
          <w:szCs w:val="27"/>
          <w:bdr w:val="none" w:color="auto" w:sz="0" w:space="0"/>
          <w:shd w:val="clear" w:fill="FFFFFF"/>
        </w:rPr>
        <w:t>注册条件的,不予注册。面向社会招生的学员学制三年，最长修业年限不超过六年。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十一、学费标准：</w:t>
      </w:r>
      <w:r>
        <w:rPr>
          <w:rFonts w:hint="default" w:ascii="楷体_gb2312" w:hAnsi="楷体_gb2312" w:eastAsia="楷体_gb2312" w:cs="楷体_gb2312"/>
          <w:i w:val="0"/>
          <w:iCs w:val="0"/>
          <w:caps w:val="0"/>
          <w:color w:val="000000"/>
          <w:spacing w:val="0"/>
          <w:sz w:val="27"/>
          <w:szCs w:val="27"/>
          <w:bdr w:val="none" w:color="auto" w:sz="0" w:space="0"/>
          <w:shd w:val="clear" w:fill="FFFFFF"/>
        </w:rPr>
        <w:t>按照安徽省发展和改革委员会、安徽省财政厅和安徽省教育厅核定的标准执行。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十二、学习形式及教学总课时：</w:t>
      </w:r>
      <w:r>
        <w:rPr>
          <w:rFonts w:hint="default" w:ascii="楷体_gb2312" w:hAnsi="楷体_gb2312" w:eastAsia="楷体_gb2312" w:cs="楷体_gb2312"/>
          <w:i w:val="0"/>
          <w:iCs w:val="0"/>
          <w:caps w:val="0"/>
          <w:color w:val="000000"/>
          <w:spacing w:val="0"/>
          <w:sz w:val="27"/>
          <w:szCs w:val="27"/>
          <w:bdr w:val="none" w:color="auto" w:sz="0" w:space="0"/>
          <w:shd w:val="clear" w:fill="FFFFFF"/>
        </w:rPr>
        <w:t>本批次录取的学生均采取走读制学习形式，单独编班、分类培养、分类教学，采取线上线下相结合的学习形式。各类别及专业的教学、学习方式及教学总课时，详见我校《面向社会人员扩招分专业人才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十三、毕业证书：</w:t>
      </w:r>
      <w:r>
        <w:rPr>
          <w:rFonts w:hint="default" w:ascii="楷体_gb2312" w:hAnsi="楷体_gb2312" w:eastAsia="楷体_gb2312" w:cs="楷体_gb2312"/>
          <w:i w:val="0"/>
          <w:iCs w:val="0"/>
          <w:caps w:val="0"/>
          <w:color w:val="000000"/>
          <w:spacing w:val="0"/>
          <w:sz w:val="27"/>
          <w:szCs w:val="27"/>
          <w:bdr w:val="none" w:color="auto" w:sz="0" w:space="0"/>
          <w:shd w:val="clear" w:fill="FFFFFF"/>
        </w:rPr>
        <w:t>学生在学校规定学习年限内,修完教育教学计划规定内容,成绩合格,达到学校毕业要求的,由学校进行学历电子注册并颁发普通全日制专科毕业证书。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bookmarkStart w:id="0" w:name="_GoBack"/>
      <w:bookmarkEnd w:id="0"/>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十四、奖贷助补免措施：</w:t>
      </w:r>
      <w:r>
        <w:rPr>
          <w:rFonts w:hint="default" w:ascii="楷体_gb2312" w:hAnsi="楷体_gb2312" w:eastAsia="楷体_gb2312" w:cs="楷体_gb2312"/>
          <w:i w:val="0"/>
          <w:iCs w:val="0"/>
          <w:caps w:val="0"/>
          <w:color w:val="000000"/>
          <w:spacing w:val="0"/>
          <w:sz w:val="27"/>
          <w:szCs w:val="27"/>
          <w:bdr w:val="none" w:color="auto" w:sz="0" w:space="0"/>
          <w:shd w:val="clear" w:fill="FFFFFF"/>
        </w:rPr>
        <w:t>与普通高考学生享受同等奖贷助补免政策。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十五、其他须知：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（一）本章程未尽事宜见学校招生网。所有招生信息与通知，均通过我校招生网或短信平台发布与提示。请考生及时关注我校招生网，并保持报名手机畅通。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bdr w:val="none" w:color="auto" w:sz="0" w:space="0"/>
          <w:shd w:val="clear" w:fill="FFFFFF"/>
        </w:rPr>
        <w:t>（二）本校严格执行国家招生政策，坚决杜绝任何形式的有偿招生，不委托任何第三方机构或个人进行考试招生工作。以学校名义进行非法招生宣传等活动的第三方机构或个人，本校将依法追究其责任。学校举报电话：0551-64689004；安徽省教育招生考试院举报电话：0551-63609561，实名举报信箱</w:t>
      </w:r>
      <w:r>
        <w:rPr>
          <w:rFonts w:hint="default" w:ascii="楷体_gb2312" w:hAnsi="楷体_gb2312" w:eastAsia="楷体_gb2312" w:cs="楷体_gb2312"/>
          <w:i w:val="0"/>
          <w:iCs w:val="0"/>
          <w:caps w:val="0"/>
          <w:color w:val="333333"/>
          <w:spacing w:val="0"/>
          <w:sz w:val="27"/>
          <w:szCs w:val="27"/>
          <w:bdr w:val="none" w:color="auto" w:sz="0" w:space="0"/>
          <w:shd w:val="clear" w:fill="FFFFFF"/>
        </w:rPr>
        <w:t>：jiancha@ahedu.gov.cn。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333333"/>
          <w:spacing w:val="0"/>
          <w:sz w:val="27"/>
          <w:szCs w:val="27"/>
          <w:bdr w:val="none" w:color="auto" w:sz="0" w:space="0"/>
          <w:shd w:val="clear" w:fill="FFFFFF"/>
        </w:rPr>
        <w:t>（三）我校2021年高职扩招不收取报名费和测试费。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562"/>
        <w:rPr>
          <w:rFonts w:hint="eastAsia" w:ascii="微软雅黑" w:hAnsi="微软雅黑" w:eastAsia="微软雅黑" w:cs="微软雅黑"/>
          <w:i w:val="0"/>
          <w:iCs w:val="0"/>
          <w:caps w:val="0"/>
          <w:color w:val="333333"/>
          <w:spacing w:val="0"/>
          <w:sz w:val="18"/>
          <w:szCs w:val="18"/>
        </w:rPr>
      </w:pPr>
      <w:r>
        <w:rPr>
          <w:rStyle w:val="5"/>
          <w:rFonts w:hint="default" w:ascii="楷体_gb2312" w:hAnsi="楷体_gb2312" w:eastAsia="楷体_gb2312" w:cs="楷体_gb2312"/>
          <w:i w:val="0"/>
          <w:iCs w:val="0"/>
          <w:caps w:val="0"/>
          <w:color w:val="000000"/>
          <w:spacing w:val="0"/>
          <w:sz w:val="27"/>
          <w:szCs w:val="27"/>
          <w:bdr w:val="none" w:color="auto" w:sz="0" w:space="0"/>
          <w:shd w:val="clear" w:fill="FFFFFF"/>
        </w:rPr>
        <w:t>十六、联系方式：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（一）咨询电话：0551-64689555、64391320、63417829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b w:val="0"/>
          <w:bCs w:val="0"/>
          <w:i w:val="0"/>
          <w:iCs w:val="0"/>
          <w:caps w:val="0"/>
          <w:color w:val="000000"/>
          <w:spacing w:val="0"/>
          <w:sz w:val="27"/>
          <w:szCs w:val="27"/>
          <w:bdr w:val="none" w:color="auto" w:sz="0" w:space="0"/>
          <w:shd w:val="clear" w:fill="FFFFFF"/>
        </w:rPr>
        <w:t>（二）学校网址：https://www.uta.edu.cn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2"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default" w:ascii="楷体_gb2312" w:hAnsi="楷体_gb2312" w:eastAsia="楷体_gb2312" w:cs="楷体_gb2312"/>
          <w:i w:val="0"/>
          <w:iCs w:val="0"/>
          <w:caps w:val="0"/>
          <w:color w:val="000000"/>
          <w:spacing w:val="0"/>
          <w:sz w:val="27"/>
          <w:szCs w:val="27"/>
          <w:u w:val="none"/>
          <w:bdr w:val="none" w:color="auto" w:sz="0" w:space="0"/>
          <w:shd w:val="clear" w:fill="FFFFFF"/>
        </w:rPr>
        <w:t>（三）学校招生网网址：https://www.uta.edu.cn/zsw</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B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2021-09-14T04:16:32Z</dcterms:created>
  <dc:creator>ZH</dc:creator>
  <cp:lastModifiedBy>左左左</cp:lastModifiedBy>
  <dcterms:modified xsi:type="dcterms:W3CDTF">2021-09-14T04:19:52Z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BBC5CB8701CB4C54893C3FACA642296E</vt:lpwstr>
  </property>
</Properties>
</file>