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C8F73">
      <w:pPr>
        <w:spacing w:line="354" w:lineRule="auto"/>
        <w:rPr>
          <w:rFonts w:ascii="Arial"/>
          <w:sz w:val="21"/>
        </w:rPr>
      </w:pPr>
    </w:p>
    <w:p w14:paraId="250C7BE4">
      <w:pPr>
        <w:pStyle w:val="2"/>
        <w:spacing w:before="221" w:line="219" w:lineRule="auto"/>
        <w:ind w:left="507"/>
        <w:outlineLvl w:val="0"/>
      </w:pPr>
      <w:r>
        <w:rPr>
          <w:b/>
          <w:bCs/>
          <w:color w:val="FF0000"/>
          <w:spacing w:val="-59"/>
          <w:w w:val="81"/>
        </w:rPr>
        <w:t>安</w:t>
      </w:r>
      <w:r>
        <w:rPr>
          <w:color w:val="FF0000"/>
          <w:spacing w:val="35"/>
        </w:rPr>
        <w:t xml:space="preserve">   </w:t>
      </w:r>
      <w:r>
        <w:rPr>
          <w:b/>
          <w:bCs/>
          <w:color w:val="FF0000"/>
          <w:spacing w:val="-59"/>
          <w:w w:val="81"/>
        </w:rPr>
        <w:t>徽</w:t>
      </w:r>
      <w:r>
        <w:rPr>
          <w:color w:val="FF0000"/>
          <w:spacing w:val="67"/>
        </w:rPr>
        <w:t xml:space="preserve">   </w:t>
      </w:r>
      <w:r>
        <w:rPr>
          <w:b/>
          <w:bCs/>
          <w:color w:val="FF0000"/>
          <w:spacing w:val="-59"/>
          <w:w w:val="81"/>
        </w:rPr>
        <w:t>省</w:t>
      </w:r>
      <w:r>
        <w:rPr>
          <w:color w:val="FF0000"/>
          <w:spacing w:val="36"/>
        </w:rPr>
        <w:t xml:space="preserve">   </w:t>
      </w:r>
      <w:r>
        <w:rPr>
          <w:b/>
          <w:bCs/>
          <w:color w:val="FF0000"/>
          <w:spacing w:val="-59"/>
          <w:w w:val="81"/>
        </w:rPr>
        <w:t>教</w:t>
      </w:r>
      <w:r>
        <w:rPr>
          <w:color w:val="FF0000"/>
          <w:spacing w:val="58"/>
        </w:rPr>
        <w:t xml:space="preserve">   </w:t>
      </w:r>
      <w:r>
        <w:rPr>
          <w:b/>
          <w:bCs/>
          <w:color w:val="FF0000"/>
          <w:spacing w:val="-59"/>
          <w:w w:val="81"/>
        </w:rPr>
        <w:t>育</w:t>
      </w:r>
      <w:r>
        <w:rPr>
          <w:color w:val="FF0000"/>
          <w:spacing w:val="48"/>
        </w:rPr>
        <w:t xml:space="preserve">   </w:t>
      </w:r>
      <w:r>
        <w:rPr>
          <w:b/>
          <w:bCs/>
          <w:color w:val="FF0000"/>
          <w:spacing w:val="-59"/>
          <w:w w:val="81"/>
        </w:rPr>
        <w:t>厅</w:t>
      </w:r>
    </w:p>
    <w:p w14:paraId="65172F17">
      <w:pPr>
        <w:pStyle w:val="2"/>
        <w:spacing w:before="18" w:line="219" w:lineRule="auto"/>
        <w:ind w:left="506"/>
        <w:outlineLvl w:val="0"/>
      </w:pPr>
      <w:r>
        <w:rPr>
          <w:b/>
          <w:bCs/>
          <w:color w:val="FF0000"/>
          <w:spacing w:val="-54"/>
          <w:w w:val="78"/>
        </w:rPr>
        <w:t>安徽省人民政府国有资产监督管理委员会</w:t>
      </w:r>
      <w:bookmarkStart w:id="0" w:name="_GoBack"/>
      <w:bookmarkEnd w:id="0"/>
    </w:p>
    <w:p w14:paraId="342A4894">
      <w:pPr>
        <w:pStyle w:val="2"/>
        <w:spacing w:before="33" w:line="219" w:lineRule="auto"/>
        <w:ind w:left="507"/>
        <w:outlineLvl w:val="0"/>
      </w:pPr>
      <w:r>
        <w:rPr>
          <w:b/>
          <w:bCs/>
          <w:color w:val="FF0000"/>
          <w:spacing w:val="-52"/>
          <w:w w:val="81"/>
        </w:rPr>
        <w:t>安</w:t>
      </w:r>
      <w:r>
        <w:rPr>
          <w:color w:val="FF0000"/>
          <w:spacing w:val="42"/>
        </w:rPr>
        <w:t xml:space="preserve">   </w:t>
      </w:r>
      <w:r>
        <w:rPr>
          <w:b/>
          <w:bCs/>
          <w:color w:val="FF0000"/>
          <w:spacing w:val="-52"/>
          <w:w w:val="81"/>
        </w:rPr>
        <w:t>徽</w:t>
      </w:r>
      <w:r>
        <w:rPr>
          <w:color w:val="FF0000"/>
          <w:spacing w:val="57"/>
        </w:rPr>
        <w:t xml:space="preserve">   </w:t>
      </w:r>
      <w:r>
        <w:rPr>
          <w:b/>
          <w:bCs/>
          <w:color w:val="FF0000"/>
          <w:spacing w:val="-52"/>
          <w:w w:val="81"/>
        </w:rPr>
        <w:t>省</w:t>
      </w:r>
      <w:r>
        <w:rPr>
          <w:color w:val="FF0000"/>
          <w:spacing w:val="32"/>
        </w:rPr>
        <w:t xml:space="preserve">   </w:t>
      </w:r>
      <w:r>
        <w:rPr>
          <w:b/>
          <w:bCs/>
          <w:color w:val="FF0000"/>
          <w:spacing w:val="-52"/>
          <w:w w:val="81"/>
        </w:rPr>
        <w:t>科</w:t>
      </w:r>
      <w:r>
        <w:rPr>
          <w:color w:val="FF0000"/>
          <w:spacing w:val="45"/>
        </w:rPr>
        <w:t xml:space="preserve">   </w:t>
      </w:r>
      <w:r>
        <w:rPr>
          <w:b/>
          <w:bCs/>
          <w:color w:val="FF0000"/>
          <w:spacing w:val="-52"/>
          <w:w w:val="81"/>
        </w:rPr>
        <w:t>技</w:t>
      </w:r>
      <w:r>
        <w:rPr>
          <w:color w:val="FF0000"/>
          <w:spacing w:val="55"/>
        </w:rPr>
        <w:t xml:space="preserve">   </w:t>
      </w:r>
      <w:r>
        <w:rPr>
          <w:b/>
          <w:bCs/>
          <w:color w:val="FF0000"/>
          <w:spacing w:val="-52"/>
          <w:w w:val="81"/>
        </w:rPr>
        <w:t>厅</w:t>
      </w:r>
    </w:p>
    <w:p w14:paraId="4D70AC03">
      <w:pPr>
        <w:pStyle w:val="2"/>
        <w:tabs>
          <w:tab w:val="left" w:pos="509"/>
        </w:tabs>
        <w:spacing w:before="28" w:line="219" w:lineRule="auto"/>
        <w:ind w:left="80"/>
        <w:outlineLvl w:val="0"/>
      </w:pPr>
      <w:r>
        <w:rPr>
          <w:color w:val="FF0000"/>
          <w:u w:val="single" w:color="auto"/>
        </w:rPr>
        <w:tab/>
      </w:r>
      <w:r>
        <w:rPr>
          <w:b/>
          <w:bCs/>
          <w:color w:val="FF0000"/>
          <w:spacing w:val="-42"/>
          <w:u w:val="single" w:color="auto"/>
        </w:rPr>
        <w:t>安</w:t>
      </w:r>
      <w:r>
        <w:rPr>
          <w:color w:val="FF0000"/>
          <w:spacing w:val="-99"/>
          <w:u w:val="single" w:color="auto"/>
        </w:rPr>
        <w:t xml:space="preserve"> </w:t>
      </w:r>
      <w:r>
        <w:rPr>
          <w:b/>
          <w:bCs/>
          <w:color w:val="FF0000"/>
          <w:spacing w:val="-42"/>
          <w:u w:val="single" w:color="auto"/>
        </w:rPr>
        <w:t>徽</w:t>
      </w:r>
      <w:r>
        <w:rPr>
          <w:color w:val="FF0000"/>
          <w:spacing w:val="-95"/>
          <w:u w:val="single" w:color="auto"/>
        </w:rPr>
        <w:t xml:space="preserve"> </w:t>
      </w:r>
      <w:r>
        <w:rPr>
          <w:b/>
          <w:bCs/>
          <w:color w:val="FF0000"/>
          <w:spacing w:val="-42"/>
          <w:u w:val="single" w:color="auto"/>
        </w:rPr>
        <w:t>省</w:t>
      </w:r>
      <w:r>
        <w:rPr>
          <w:color w:val="FF0000"/>
          <w:spacing w:val="-98"/>
          <w:u w:val="single" w:color="auto"/>
        </w:rPr>
        <w:t xml:space="preserve"> </w:t>
      </w:r>
      <w:r>
        <w:rPr>
          <w:b/>
          <w:bCs/>
          <w:color w:val="FF0000"/>
          <w:spacing w:val="-42"/>
          <w:u w:val="single" w:color="auto"/>
        </w:rPr>
        <w:t>工</w:t>
      </w:r>
      <w:r>
        <w:rPr>
          <w:color w:val="FF0000"/>
          <w:spacing w:val="-109"/>
          <w:u w:val="single" w:color="auto"/>
        </w:rPr>
        <w:t xml:space="preserve"> </w:t>
      </w:r>
      <w:r>
        <w:rPr>
          <w:b/>
          <w:bCs/>
          <w:color w:val="FF0000"/>
          <w:spacing w:val="-42"/>
          <w:u w:val="single" w:color="auto"/>
        </w:rPr>
        <w:t>业</w:t>
      </w:r>
      <w:r>
        <w:rPr>
          <w:color w:val="FF0000"/>
          <w:spacing w:val="-104"/>
          <w:u w:val="single" w:color="auto"/>
        </w:rPr>
        <w:t xml:space="preserve"> </w:t>
      </w:r>
      <w:r>
        <w:rPr>
          <w:b/>
          <w:bCs/>
          <w:color w:val="FF0000"/>
          <w:spacing w:val="-42"/>
          <w:u w:val="single" w:color="auto"/>
        </w:rPr>
        <w:t>和</w:t>
      </w:r>
      <w:r>
        <w:rPr>
          <w:color w:val="FF0000"/>
          <w:spacing w:val="-106"/>
          <w:u w:val="single" w:color="auto"/>
        </w:rPr>
        <w:t xml:space="preserve"> </w:t>
      </w:r>
      <w:r>
        <w:rPr>
          <w:b/>
          <w:bCs/>
          <w:color w:val="FF0000"/>
          <w:spacing w:val="-42"/>
          <w:u w:val="single" w:color="auto"/>
        </w:rPr>
        <w:t>信</w:t>
      </w:r>
      <w:r>
        <w:rPr>
          <w:color w:val="FF0000"/>
          <w:spacing w:val="-77"/>
          <w:u w:val="single" w:color="auto"/>
        </w:rPr>
        <w:t xml:space="preserve"> </w:t>
      </w:r>
      <w:r>
        <w:rPr>
          <w:b/>
          <w:bCs/>
          <w:color w:val="FF0000"/>
          <w:spacing w:val="-42"/>
          <w:u w:val="single" w:color="auto"/>
        </w:rPr>
        <w:t>息</w:t>
      </w:r>
      <w:r>
        <w:rPr>
          <w:color w:val="FF0000"/>
          <w:spacing w:val="-104"/>
          <w:u w:val="single" w:color="auto"/>
        </w:rPr>
        <w:t xml:space="preserve"> </w:t>
      </w:r>
      <w:r>
        <w:rPr>
          <w:b/>
          <w:bCs/>
          <w:color w:val="FF0000"/>
          <w:spacing w:val="-42"/>
          <w:u w:val="single" w:color="auto"/>
        </w:rPr>
        <w:t>化</w:t>
      </w:r>
      <w:r>
        <w:rPr>
          <w:color w:val="FF0000"/>
          <w:spacing w:val="-95"/>
          <w:u w:val="single" w:color="auto"/>
        </w:rPr>
        <w:t xml:space="preserve"> </w:t>
      </w:r>
      <w:r>
        <w:rPr>
          <w:b/>
          <w:bCs/>
          <w:color w:val="FF0000"/>
          <w:spacing w:val="-42"/>
          <w:u w:val="single" w:color="auto"/>
        </w:rPr>
        <w:t>厅</w:t>
      </w:r>
      <w:r>
        <w:rPr>
          <w:color w:val="FF0000"/>
          <w:u w:val="single" w:color="auto"/>
        </w:rPr>
        <w:t xml:space="preserve">  </w:t>
      </w:r>
    </w:p>
    <w:p w14:paraId="2E8048E3">
      <w:pPr>
        <w:spacing w:line="298" w:lineRule="auto"/>
        <w:rPr>
          <w:rFonts w:ascii="Arial"/>
          <w:sz w:val="21"/>
        </w:rPr>
      </w:pPr>
    </w:p>
    <w:p w14:paraId="5A443906">
      <w:pPr>
        <w:spacing w:line="299" w:lineRule="auto"/>
        <w:rPr>
          <w:rFonts w:ascii="Arial"/>
          <w:sz w:val="21"/>
        </w:rPr>
      </w:pPr>
    </w:p>
    <w:p w14:paraId="6998BD71">
      <w:pPr>
        <w:spacing w:line="299" w:lineRule="auto"/>
        <w:rPr>
          <w:rFonts w:ascii="Arial"/>
          <w:sz w:val="21"/>
        </w:rPr>
      </w:pPr>
    </w:p>
    <w:p w14:paraId="21A315FA">
      <w:pPr>
        <w:spacing w:before="104" w:line="222" w:lineRule="auto"/>
        <w:ind w:left="5930"/>
        <w:rPr>
          <w:rFonts w:ascii="仿宋" w:hAnsi="仿宋" w:eastAsia="仿宋" w:cs="仿宋"/>
          <w:sz w:val="32"/>
          <w:szCs w:val="32"/>
        </w:rPr>
      </w:pPr>
      <w:r>
        <w:rPr>
          <w:rFonts w:ascii="仿宋" w:hAnsi="仿宋" w:eastAsia="仿宋" w:cs="仿宋"/>
          <w:spacing w:val="-3"/>
          <w:sz w:val="32"/>
          <w:szCs w:val="32"/>
        </w:rPr>
        <w:t>皖教秘科〔2026〕94号</w:t>
      </w:r>
    </w:p>
    <w:p w14:paraId="027D5E0C">
      <w:pPr>
        <w:rPr>
          <w:rFonts w:ascii="Arial"/>
          <w:sz w:val="21"/>
        </w:rPr>
      </w:pPr>
    </w:p>
    <w:p w14:paraId="4C7EEA23">
      <w:pPr>
        <w:rPr>
          <w:rFonts w:ascii="Arial"/>
          <w:sz w:val="21"/>
        </w:rPr>
      </w:pPr>
    </w:p>
    <w:p w14:paraId="357144CF">
      <w:pPr>
        <w:pStyle w:val="2"/>
        <w:spacing w:before="143" w:line="219" w:lineRule="auto"/>
        <w:ind w:left="1225"/>
        <w:rPr>
          <w:sz w:val="44"/>
          <w:szCs w:val="44"/>
        </w:rPr>
      </w:pPr>
      <w:r>
        <w:rPr>
          <w:b/>
          <w:bCs/>
          <w:spacing w:val="-38"/>
          <w:sz w:val="44"/>
          <w:szCs w:val="44"/>
        </w:rPr>
        <w:t>关于开展第三届安徽省高校“百场千项”</w:t>
      </w:r>
    </w:p>
    <w:p w14:paraId="0F073E76">
      <w:pPr>
        <w:pStyle w:val="2"/>
        <w:spacing w:before="25" w:line="219" w:lineRule="auto"/>
        <w:ind w:left="2605"/>
        <w:rPr>
          <w:sz w:val="44"/>
          <w:szCs w:val="44"/>
        </w:rPr>
      </w:pPr>
      <w:r>
        <w:rPr>
          <w:b/>
          <w:bCs/>
          <w:spacing w:val="-46"/>
          <w:sz w:val="44"/>
          <w:szCs w:val="44"/>
        </w:rPr>
        <w:t>科技成果路演活动的通知</w:t>
      </w:r>
    </w:p>
    <w:p w14:paraId="7032A2EE">
      <w:pPr>
        <w:spacing w:line="280" w:lineRule="auto"/>
        <w:rPr>
          <w:rFonts w:ascii="Arial"/>
          <w:sz w:val="21"/>
        </w:rPr>
      </w:pPr>
    </w:p>
    <w:p w14:paraId="750F32F3">
      <w:pPr>
        <w:spacing w:line="280" w:lineRule="auto"/>
        <w:rPr>
          <w:rFonts w:ascii="Arial"/>
          <w:sz w:val="21"/>
        </w:rPr>
      </w:pPr>
    </w:p>
    <w:p w14:paraId="7544B1C8">
      <w:pPr>
        <w:spacing w:before="104" w:line="222" w:lineRule="auto"/>
        <w:ind w:left="420"/>
        <w:rPr>
          <w:rFonts w:ascii="仿宋" w:hAnsi="仿宋" w:eastAsia="仿宋" w:cs="仿宋"/>
          <w:sz w:val="32"/>
          <w:szCs w:val="32"/>
        </w:rPr>
      </w:pPr>
      <w:r>
        <w:rPr>
          <w:rFonts w:ascii="仿宋" w:hAnsi="仿宋" w:eastAsia="仿宋" w:cs="仿宋"/>
          <w:spacing w:val="-14"/>
          <w:sz w:val="32"/>
          <w:szCs w:val="32"/>
        </w:rPr>
        <w:t>各高等院校：</w:t>
      </w:r>
    </w:p>
    <w:p w14:paraId="4976DBAC">
      <w:pPr>
        <w:spacing w:before="153" w:line="294" w:lineRule="auto"/>
        <w:ind w:left="420" w:right="329" w:firstLine="620"/>
        <w:jc w:val="both"/>
        <w:rPr>
          <w:rFonts w:ascii="仿宋" w:hAnsi="仿宋" w:eastAsia="仿宋" w:cs="仿宋"/>
          <w:sz w:val="32"/>
          <w:szCs w:val="32"/>
        </w:rPr>
      </w:pPr>
      <w:r>
        <w:rPr>
          <w:rFonts w:ascii="仿宋" w:hAnsi="仿宋" w:eastAsia="仿宋" w:cs="仿宋"/>
          <w:spacing w:val="-11"/>
          <w:sz w:val="32"/>
          <w:szCs w:val="32"/>
        </w:rPr>
        <w:t>为深入贯彻落实教育、科技、人才“三位一体”协同融合发</w:t>
      </w:r>
      <w:r>
        <w:rPr>
          <w:rFonts w:ascii="仿宋" w:hAnsi="仿宋" w:eastAsia="仿宋" w:cs="仿宋"/>
          <w:sz w:val="32"/>
          <w:szCs w:val="32"/>
        </w:rPr>
        <w:t xml:space="preserve">  </w:t>
      </w:r>
      <w:r>
        <w:rPr>
          <w:rFonts w:ascii="仿宋" w:hAnsi="仿宋" w:eastAsia="仿宋" w:cs="仿宋"/>
          <w:spacing w:val="14"/>
          <w:sz w:val="32"/>
          <w:szCs w:val="32"/>
        </w:rPr>
        <w:t>展，推动高校服务科技创新与产业创新深度融合，赋能我省</w:t>
      </w:r>
      <w:r>
        <w:rPr>
          <w:rFonts w:ascii="仿宋" w:hAnsi="仿宋" w:eastAsia="仿宋" w:cs="仿宋"/>
          <w:spacing w:val="7"/>
          <w:sz w:val="32"/>
          <w:szCs w:val="32"/>
        </w:rPr>
        <w:t xml:space="preserve"> </w:t>
      </w:r>
      <w:r>
        <w:rPr>
          <w:rFonts w:ascii="仿宋" w:hAnsi="仿宋" w:eastAsia="仿宋" w:cs="仿宋"/>
          <w:spacing w:val="-10"/>
          <w:sz w:val="32"/>
          <w:szCs w:val="32"/>
        </w:rPr>
        <w:t>“1188”现代化产业高质量发展，经研究，决定举办第三届安徽</w:t>
      </w:r>
      <w:r>
        <w:rPr>
          <w:rFonts w:ascii="仿宋" w:hAnsi="仿宋" w:eastAsia="仿宋" w:cs="仿宋"/>
          <w:spacing w:val="9"/>
          <w:sz w:val="32"/>
          <w:szCs w:val="32"/>
        </w:rPr>
        <w:t xml:space="preserve">  </w:t>
      </w:r>
      <w:r>
        <w:rPr>
          <w:rFonts w:ascii="仿宋" w:hAnsi="仿宋" w:eastAsia="仿宋" w:cs="仿宋"/>
          <w:spacing w:val="-16"/>
          <w:sz w:val="32"/>
          <w:szCs w:val="32"/>
        </w:rPr>
        <w:t>省“百场千项”高校科技成果路演活动。现将有关事项通知如下。</w:t>
      </w:r>
    </w:p>
    <w:p w14:paraId="60F3F02B">
      <w:pPr>
        <w:spacing w:before="35" w:line="222" w:lineRule="auto"/>
        <w:ind w:left="1040"/>
        <w:rPr>
          <w:rFonts w:ascii="黑体" w:hAnsi="黑体" w:eastAsia="黑体" w:cs="黑体"/>
          <w:sz w:val="30"/>
          <w:szCs w:val="30"/>
        </w:rPr>
      </w:pPr>
      <w:r>
        <w:rPr>
          <w:rFonts w:ascii="黑体" w:hAnsi="黑体" w:eastAsia="黑体" w:cs="黑体"/>
          <w:spacing w:val="1"/>
          <w:sz w:val="30"/>
          <w:szCs w:val="30"/>
        </w:rPr>
        <w:t>一</w:t>
      </w:r>
      <w:r>
        <w:rPr>
          <w:rFonts w:ascii="黑体" w:hAnsi="黑体" w:eastAsia="黑体" w:cs="黑体"/>
          <w:spacing w:val="-73"/>
          <w:sz w:val="30"/>
          <w:szCs w:val="30"/>
        </w:rPr>
        <w:t xml:space="preserve"> </w:t>
      </w:r>
      <w:r>
        <w:rPr>
          <w:rFonts w:ascii="黑体" w:hAnsi="黑体" w:eastAsia="黑体" w:cs="黑体"/>
          <w:spacing w:val="1"/>
          <w:sz w:val="30"/>
          <w:szCs w:val="30"/>
        </w:rPr>
        <w:t>、活动主题</w:t>
      </w:r>
    </w:p>
    <w:p w14:paraId="1CBB225F">
      <w:pPr>
        <w:spacing w:before="152" w:line="219" w:lineRule="auto"/>
        <w:ind w:left="1040"/>
        <w:rPr>
          <w:rFonts w:ascii="仿宋" w:hAnsi="仿宋" w:eastAsia="仿宋" w:cs="仿宋"/>
          <w:sz w:val="32"/>
          <w:szCs w:val="32"/>
        </w:rPr>
      </w:pPr>
      <w:r>
        <w:rPr>
          <w:rFonts w:ascii="仿宋" w:hAnsi="仿宋" w:eastAsia="仿宋" w:cs="仿宋"/>
          <w:spacing w:val="14"/>
          <w:sz w:val="32"/>
          <w:szCs w:val="32"/>
        </w:rPr>
        <w:t>智汇成果转化向新</w:t>
      </w:r>
    </w:p>
    <w:p w14:paraId="1F90A26E">
      <w:pPr>
        <w:spacing w:before="137" w:line="221" w:lineRule="auto"/>
        <w:ind w:left="1040"/>
        <w:rPr>
          <w:rFonts w:ascii="黑体" w:hAnsi="黑体" w:eastAsia="黑体" w:cs="黑体"/>
          <w:sz w:val="32"/>
          <w:szCs w:val="32"/>
        </w:rPr>
      </w:pPr>
      <w:r>
        <w:rPr>
          <w:rFonts w:ascii="黑体" w:hAnsi="黑体" w:eastAsia="黑体" w:cs="黑体"/>
          <w:spacing w:val="-5"/>
          <w:sz w:val="32"/>
          <w:szCs w:val="32"/>
        </w:rPr>
        <w:t>二、举办单位</w:t>
      </w:r>
    </w:p>
    <w:p w14:paraId="7DB9F359">
      <w:pPr>
        <w:spacing w:before="145" w:line="303" w:lineRule="auto"/>
        <w:ind w:left="420" w:right="390" w:firstLine="620"/>
        <w:rPr>
          <w:rFonts w:ascii="仿宋" w:hAnsi="仿宋" w:eastAsia="仿宋" w:cs="仿宋"/>
          <w:sz w:val="32"/>
          <w:szCs w:val="32"/>
        </w:rPr>
      </w:pPr>
      <w:r>
        <w:rPr>
          <w:rFonts w:ascii="仿宋" w:hAnsi="仿宋" w:eastAsia="仿宋" w:cs="仿宋"/>
          <w:spacing w:val="-7"/>
          <w:sz w:val="32"/>
          <w:szCs w:val="32"/>
        </w:rPr>
        <w:t>主办单位：安徽省教育厅联合安徽省国有资产监督委员会，</w:t>
      </w:r>
      <w:r>
        <w:rPr>
          <w:rFonts w:ascii="仿宋" w:hAnsi="仿宋" w:eastAsia="仿宋" w:cs="仿宋"/>
          <w:sz w:val="32"/>
          <w:szCs w:val="32"/>
        </w:rPr>
        <w:t xml:space="preserve"> </w:t>
      </w:r>
      <w:r>
        <w:rPr>
          <w:rFonts w:ascii="仿宋" w:hAnsi="仿宋" w:eastAsia="仿宋" w:cs="仿宋"/>
          <w:spacing w:val="-4"/>
          <w:sz w:val="32"/>
          <w:szCs w:val="32"/>
        </w:rPr>
        <w:t>会同安徽省科技厅、安徽省工业和信息化厅共同主办</w:t>
      </w:r>
    </w:p>
    <w:p w14:paraId="3DF42DFA">
      <w:pPr>
        <w:spacing w:before="1" w:line="220" w:lineRule="auto"/>
        <w:ind w:left="1040"/>
        <w:rPr>
          <w:rFonts w:ascii="仿宋" w:hAnsi="仿宋" w:eastAsia="仿宋" w:cs="仿宋"/>
          <w:sz w:val="32"/>
          <w:szCs w:val="32"/>
        </w:rPr>
      </w:pPr>
      <w:r>
        <w:rPr>
          <w:rFonts w:ascii="仿宋" w:hAnsi="仿宋" w:eastAsia="仿宋" w:cs="仿宋"/>
          <w:spacing w:val="-6"/>
          <w:sz w:val="32"/>
          <w:szCs w:val="32"/>
        </w:rPr>
        <w:t>承办单位：合肥国家大学科技园、教育部安徽高等研究院、</w:t>
      </w:r>
    </w:p>
    <w:p w14:paraId="3428EC61">
      <w:pPr>
        <w:spacing w:line="220" w:lineRule="auto"/>
        <w:rPr>
          <w:rFonts w:ascii="仿宋" w:hAnsi="仿宋" w:eastAsia="仿宋" w:cs="仿宋"/>
          <w:sz w:val="32"/>
          <w:szCs w:val="32"/>
        </w:rPr>
        <w:sectPr>
          <w:footerReference r:id="rId5" w:type="default"/>
          <w:pgSz w:w="11910" w:h="16840"/>
          <w:pgMar w:top="1431" w:right="1110" w:bottom="1350" w:left="1229" w:header="0" w:footer="1289" w:gutter="0"/>
          <w:cols w:space="720" w:num="1"/>
        </w:sectPr>
      </w:pPr>
    </w:p>
    <w:p w14:paraId="05599DFD">
      <w:pPr>
        <w:spacing w:line="422" w:lineRule="auto"/>
        <w:rPr>
          <w:rFonts w:ascii="Arial"/>
          <w:sz w:val="21"/>
        </w:rPr>
      </w:pPr>
    </w:p>
    <w:p w14:paraId="33597654">
      <w:pPr>
        <w:spacing w:before="114" w:line="270" w:lineRule="auto"/>
        <w:ind w:right="127"/>
        <w:rPr>
          <w:rFonts w:ascii="仿宋" w:hAnsi="仿宋" w:eastAsia="仿宋" w:cs="仿宋"/>
          <w:sz w:val="35"/>
          <w:szCs w:val="35"/>
        </w:rPr>
      </w:pPr>
      <w:r>
        <w:rPr>
          <w:rFonts w:ascii="仿宋" w:hAnsi="仿宋" w:eastAsia="仿宋" w:cs="仿宋"/>
          <w:spacing w:val="-33"/>
          <w:sz w:val="35"/>
          <w:szCs w:val="35"/>
        </w:rPr>
        <w:t>科大硅谷、教育部高等研究院融合发展创新研究中心、安徽省属</w:t>
      </w:r>
      <w:r>
        <w:rPr>
          <w:rFonts w:ascii="仿宋" w:hAnsi="仿宋" w:eastAsia="仿宋" w:cs="仿宋"/>
          <w:sz w:val="35"/>
          <w:szCs w:val="35"/>
        </w:rPr>
        <w:t xml:space="preserve"> </w:t>
      </w:r>
      <w:r>
        <w:rPr>
          <w:rFonts w:ascii="仿宋" w:hAnsi="仿宋" w:eastAsia="仿宋" w:cs="仿宋"/>
          <w:spacing w:val="-28"/>
          <w:sz w:val="35"/>
          <w:szCs w:val="35"/>
        </w:rPr>
        <w:t>高校科技成果转化联盟</w:t>
      </w:r>
    </w:p>
    <w:p w14:paraId="6AB25F21">
      <w:pPr>
        <w:spacing w:before="66" w:line="222" w:lineRule="auto"/>
        <w:ind w:left="669"/>
        <w:rPr>
          <w:rFonts w:ascii="黑体" w:hAnsi="黑体" w:eastAsia="黑体" w:cs="黑体"/>
          <w:sz w:val="31"/>
          <w:szCs w:val="31"/>
        </w:rPr>
      </w:pPr>
      <w:r>
        <w:rPr>
          <w:rFonts w:ascii="黑体" w:hAnsi="黑体" w:eastAsia="黑体" w:cs="黑体"/>
          <w:spacing w:val="9"/>
          <w:sz w:val="31"/>
          <w:szCs w:val="31"/>
        </w:rPr>
        <w:t>三、活动内容</w:t>
      </w:r>
    </w:p>
    <w:p w14:paraId="3A138293">
      <w:pPr>
        <w:spacing w:before="148" w:line="296" w:lineRule="auto"/>
        <w:ind w:right="95" w:firstLine="669"/>
        <w:rPr>
          <w:rFonts w:ascii="仿宋" w:hAnsi="仿宋" w:eastAsia="仿宋" w:cs="仿宋"/>
          <w:sz w:val="33"/>
          <w:szCs w:val="33"/>
        </w:rPr>
      </w:pPr>
      <w:r>
        <w:rPr>
          <w:rFonts w:ascii="仿宋" w:hAnsi="仿宋" w:eastAsia="仿宋" w:cs="仿宋"/>
          <w:spacing w:val="-13"/>
          <w:sz w:val="33"/>
          <w:szCs w:val="33"/>
        </w:rPr>
        <w:t>本届活动全年滚动实施，分为常态化科技成果和技</w:t>
      </w:r>
      <w:r>
        <w:rPr>
          <w:rFonts w:ascii="仿宋" w:hAnsi="仿宋" w:eastAsia="仿宋" w:cs="仿宋"/>
          <w:spacing w:val="-14"/>
          <w:sz w:val="33"/>
          <w:szCs w:val="33"/>
        </w:rPr>
        <w:t>术需求征</w:t>
      </w:r>
      <w:r>
        <w:rPr>
          <w:rFonts w:ascii="仿宋" w:hAnsi="仿宋" w:eastAsia="仿宋" w:cs="仿宋"/>
          <w:sz w:val="33"/>
          <w:szCs w:val="33"/>
        </w:rPr>
        <w:t xml:space="preserve"> </w:t>
      </w:r>
      <w:r>
        <w:rPr>
          <w:rFonts w:ascii="仿宋" w:hAnsi="仿宋" w:eastAsia="仿宋" w:cs="仿宋"/>
          <w:spacing w:val="-11"/>
          <w:sz w:val="33"/>
          <w:szCs w:val="33"/>
        </w:rPr>
        <w:t>集、科技成果集中路演主活动等。</w:t>
      </w:r>
    </w:p>
    <w:p w14:paraId="2FE4E409">
      <w:pPr>
        <w:spacing w:before="5" w:line="224" w:lineRule="auto"/>
        <w:ind w:left="799"/>
        <w:rPr>
          <w:rFonts w:ascii="楷体" w:hAnsi="楷体" w:eastAsia="楷体" w:cs="楷体"/>
          <w:sz w:val="33"/>
          <w:szCs w:val="33"/>
        </w:rPr>
      </w:pPr>
      <w:r>
        <w:rPr>
          <w:rFonts w:ascii="楷体" w:hAnsi="楷体" w:eastAsia="楷体" w:cs="楷体"/>
          <w:spacing w:val="1"/>
          <w:sz w:val="33"/>
          <w:szCs w:val="33"/>
        </w:rPr>
        <w:t>(一)常态化科技成果和技术需求征集</w:t>
      </w:r>
    </w:p>
    <w:p w14:paraId="6382F914">
      <w:pPr>
        <w:spacing w:before="124" w:line="279" w:lineRule="auto"/>
        <w:ind w:right="29" w:firstLine="669"/>
        <w:rPr>
          <w:rFonts w:ascii="仿宋" w:hAnsi="仿宋" w:eastAsia="仿宋" w:cs="仿宋"/>
          <w:sz w:val="35"/>
          <w:szCs w:val="35"/>
        </w:rPr>
      </w:pPr>
      <w:r>
        <w:rPr>
          <w:rFonts w:ascii="仿宋" w:hAnsi="仿宋" w:eastAsia="仿宋" w:cs="仿宋"/>
          <w:spacing w:val="-34"/>
          <w:sz w:val="35"/>
          <w:szCs w:val="35"/>
        </w:rPr>
        <w:t>面向省内外高校征集优质科技成果；面向省属国企、专精特</w:t>
      </w:r>
      <w:r>
        <w:rPr>
          <w:rFonts w:ascii="仿宋" w:hAnsi="仿宋" w:eastAsia="仿宋" w:cs="仿宋"/>
          <w:spacing w:val="5"/>
          <w:sz w:val="35"/>
          <w:szCs w:val="35"/>
        </w:rPr>
        <w:t xml:space="preserve"> </w:t>
      </w:r>
      <w:r>
        <w:rPr>
          <w:rFonts w:ascii="仿宋" w:hAnsi="仿宋" w:eastAsia="仿宋" w:cs="仿宋"/>
          <w:spacing w:val="-30"/>
          <w:sz w:val="35"/>
          <w:szCs w:val="35"/>
        </w:rPr>
        <w:t>新企业、园区龙头企业征集产业技术需求，具体事项另行通知。</w:t>
      </w:r>
    </w:p>
    <w:p w14:paraId="37FAF8F1">
      <w:pPr>
        <w:spacing w:before="38" w:line="274" w:lineRule="auto"/>
        <w:ind w:right="92" w:firstLine="669"/>
        <w:rPr>
          <w:rFonts w:ascii="仿宋" w:hAnsi="仿宋" w:eastAsia="仿宋" w:cs="仿宋"/>
          <w:sz w:val="33"/>
          <w:szCs w:val="33"/>
        </w:rPr>
      </w:pPr>
      <w:r>
        <w:rPr>
          <w:rFonts w:ascii="Times New Roman" w:hAnsi="Times New Roman" w:eastAsia="Times New Roman" w:cs="Times New Roman"/>
          <w:spacing w:val="-10"/>
          <w:sz w:val="33"/>
          <w:szCs w:val="33"/>
        </w:rPr>
        <w:t>1.</w:t>
      </w:r>
      <w:r>
        <w:rPr>
          <w:rFonts w:ascii="仿宋" w:hAnsi="仿宋" w:eastAsia="仿宋" w:cs="仿宋"/>
          <w:spacing w:val="-10"/>
          <w:sz w:val="33"/>
          <w:szCs w:val="33"/>
        </w:rPr>
        <w:t>征集范围。全省高校、省外参与教育部安徽高等研究院建</w:t>
      </w:r>
      <w:r>
        <w:rPr>
          <w:rFonts w:ascii="仿宋" w:hAnsi="仿宋" w:eastAsia="仿宋" w:cs="仿宋"/>
          <w:spacing w:val="14"/>
          <w:sz w:val="33"/>
          <w:szCs w:val="33"/>
        </w:rPr>
        <w:t xml:space="preserve"> </w:t>
      </w:r>
      <w:r>
        <w:rPr>
          <w:rFonts w:ascii="仿宋" w:hAnsi="仿宋" w:eastAsia="仿宋" w:cs="仿宋"/>
          <w:spacing w:val="-13"/>
          <w:sz w:val="33"/>
          <w:szCs w:val="33"/>
        </w:rPr>
        <w:t>设的“双一流”高校科研团队，重点征集新</w:t>
      </w:r>
      <w:r>
        <w:rPr>
          <w:rFonts w:ascii="仿宋" w:hAnsi="仿宋" w:eastAsia="仿宋" w:cs="仿宋"/>
          <w:spacing w:val="-14"/>
          <w:sz w:val="33"/>
          <w:szCs w:val="33"/>
        </w:rPr>
        <w:t>一代信息技术、新能</w:t>
      </w:r>
      <w:r>
        <w:rPr>
          <w:rFonts w:ascii="仿宋" w:hAnsi="仿宋" w:eastAsia="仿宋" w:cs="仿宋"/>
          <w:sz w:val="33"/>
          <w:szCs w:val="33"/>
        </w:rPr>
        <w:t xml:space="preserve"> </w:t>
      </w:r>
      <w:r>
        <w:rPr>
          <w:rFonts w:ascii="仿宋" w:hAnsi="仿宋" w:eastAsia="仿宋" w:cs="仿宋"/>
          <w:spacing w:val="-14"/>
          <w:sz w:val="33"/>
          <w:szCs w:val="33"/>
        </w:rPr>
        <w:t>源、新材料、高端装备、人工智能、量子信息、生物医药等新兴</w:t>
      </w:r>
      <w:r>
        <w:rPr>
          <w:rFonts w:ascii="仿宋" w:hAnsi="仿宋" w:eastAsia="仿宋" w:cs="仿宋"/>
          <w:spacing w:val="15"/>
          <w:sz w:val="33"/>
          <w:szCs w:val="33"/>
        </w:rPr>
        <w:t xml:space="preserve"> </w:t>
      </w:r>
      <w:r>
        <w:rPr>
          <w:rFonts w:ascii="仿宋" w:hAnsi="仿宋" w:eastAsia="仿宋" w:cs="仿宋"/>
          <w:spacing w:val="-10"/>
          <w:sz w:val="33"/>
          <w:szCs w:val="33"/>
        </w:rPr>
        <w:t>产业和未来产业科创项目。</w:t>
      </w:r>
    </w:p>
    <w:p w14:paraId="677B3EA6">
      <w:pPr>
        <w:spacing w:before="169" w:line="281" w:lineRule="auto"/>
        <w:ind w:firstLine="669"/>
        <w:rPr>
          <w:rFonts w:ascii="仿宋" w:hAnsi="仿宋" w:eastAsia="仿宋" w:cs="仿宋"/>
          <w:sz w:val="33"/>
          <w:szCs w:val="33"/>
        </w:rPr>
      </w:pPr>
      <w:r>
        <w:rPr>
          <w:rFonts w:ascii="Times New Roman" w:hAnsi="Times New Roman" w:eastAsia="Times New Roman" w:cs="Times New Roman"/>
          <w:spacing w:val="-10"/>
          <w:sz w:val="33"/>
          <w:szCs w:val="33"/>
        </w:rPr>
        <w:t>2.</w:t>
      </w:r>
      <w:r>
        <w:rPr>
          <w:rFonts w:ascii="仿宋" w:hAnsi="仿宋" w:eastAsia="仿宋" w:cs="仿宋"/>
          <w:spacing w:val="-10"/>
          <w:sz w:val="33"/>
          <w:szCs w:val="33"/>
        </w:rPr>
        <w:t>征集要求。项目拥有自主知识产权，并满足以下要求：一</w:t>
      </w:r>
      <w:r>
        <w:rPr>
          <w:rFonts w:ascii="仿宋" w:hAnsi="仿宋" w:eastAsia="仿宋" w:cs="仿宋"/>
          <w:spacing w:val="17"/>
          <w:sz w:val="33"/>
          <w:szCs w:val="33"/>
        </w:rPr>
        <w:t xml:space="preserve"> </w:t>
      </w:r>
      <w:r>
        <w:rPr>
          <w:rFonts w:ascii="仿宋" w:hAnsi="仿宋" w:eastAsia="仿宋" w:cs="仿宋"/>
          <w:spacing w:val="-14"/>
          <w:sz w:val="33"/>
          <w:szCs w:val="33"/>
        </w:rPr>
        <w:t>是创新性，项目须具备较高的技术创新性，能够填补国内外技术</w:t>
      </w:r>
      <w:r>
        <w:rPr>
          <w:rFonts w:ascii="仿宋" w:hAnsi="仿宋" w:eastAsia="仿宋" w:cs="仿宋"/>
          <w:spacing w:val="5"/>
          <w:sz w:val="33"/>
          <w:szCs w:val="33"/>
        </w:rPr>
        <w:t xml:space="preserve">  </w:t>
      </w:r>
      <w:r>
        <w:rPr>
          <w:rFonts w:ascii="仿宋" w:hAnsi="仿宋" w:eastAsia="仿宋" w:cs="仿宋"/>
          <w:spacing w:val="-13"/>
          <w:sz w:val="33"/>
          <w:szCs w:val="33"/>
        </w:rPr>
        <w:t>空白或显著提升现有技术水平；二是可行性，项目</w:t>
      </w:r>
      <w:r>
        <w:rPr>
          <w:rFonts w:ascii="仿宋" w:hAnsi="仿宋" w:eastAsia="仿宋" w:cs="仿宋"/>
          <w:spacing w:val="-14"/>
          <w:sz w:val="33"/>
          <w:szCs w:val="33"/>
        </w:rPr>
        <w:t>须具备明确的</w:t>
      </w:r>
      <w:r>
        <w:rPr>
          <w:rFonts w:ascii="仿宋" w:hAnsi="仿宋" w:eastAsia="仿宋" w:cs="仿宋"/>
          <w:sz w:val="33"/>
          <w:szCs w:val="33"/>
        </w:rPr>
        <w:t xml:space="preserve"> </w:t>
      </w:r>
      <w:r>
        <w:rPr>
          <w:rFonts w:ascii="仿宋" w:hAnsi="仿宋" w:eastAsia="仿宋" w:cs="仿宋"/>
          <w:spacing w:val="-13"/>
          <w:sz w:val="33"/>
          <w:szCs w:val="33"/>
        </w:rPr>
        <w:t>产业化路径和市场需求，具有较高的经济和社会效益预期；三是</w:t>
      </w:r>
      <w:r>
        <w:rPr>
          <w:rFonts w:ascii="仿宋" w:hAnsi="仿宋" w:eastAsia="仿宋" w:cs="仿宋"/>
          <w:spacing w:val="14"/>
          <w:sz w:val="33"/>
          <w:szCs w:val="33"/>
        </w:rPr>
        <w:t xml:space="preserve"> </w:t>
      </w:r>
      <w:r>
        <w:rPr>
          <w:rFonts w:ascii="仿宋" w:hAnsi="仿宋" w:eastAsia="仿宋" w:cs="仿宋"/>
          <w:spacing w:val="-20"/>
          <w:sz w:val="33"/>
          <w:szCs w:val="33"/>
        </w:rPr>
        <w:t>完整性，项目材料需完整，包括项目简介、技术原理、研发进展、</w:t>
      </w:r>
      <w:r>
        <w:rPr>
          <w:rFonts w:ascii="仿宋" w:hAnsi="仿宋" w:eastAsia="仿宋" w:cs="仿宋"/>
          <w:spacing w:val="13"/>
          <w:sz w:val="33"/>
          <w:szCs w:val="33"/>
        </w:rPr>
        <w:t xml:space="preserve"> </w:t>
      </w:r>
      <w:r>
        <w:rPr>
          <w:rFonts w:ascii="仿宋" w:hAnsi="仿宋" w:eastAsia="仿宋" w:cs="仿宋"/>
          <w:spacing w:val="-8"/>
          <w:sz w:val="33"/>
          <w:szCs w:val="33"/>
        </w:rPr>
        <w:t>市场前景、资金需求及融资计划等内容，并</w:t>
      </w:r>
      <w:r>
        <w:rPr>
          <w:rFonts w:ascii="仿宋" w:hAnsi="仿宋" w:eastAsia="仿宋" w:cs="仿宋"/>
          <w:spacing w:val="-9"/>
          <w:sz w:val="33"/>
          <w:szCs w:val="33"/>
        </w:rPr>
        <w:t xml:space="preserve">以 </w:t>
      </w:r>
      <w:r>
        <w:rPr>
          <w:rFonts w:ascii="Times New Roman" w:hAnsi="Times New Roman" w:eastAsia="Times New Roman" w:cs="Times New Roman"/>
          <w:spacing w:val="-9"/>
          <w:sz w:val="33"/>
          <w:szCs w:val="33"/>
        </w:rPr>
        <w:t>PPT</w:t>
      </w:r>
      <w:r>
        <w:rPr>
          <w:rFonts w:ascii="Times New Roman" w:hAnsi="Times New Roman" w:eastAsia="Times New Roman" w:cs="Times New Roman"/>
          <w:spacing w:val="74"/>
          <w:w w:val="101"/>
          <w:sz w:val="33"/>
          <w:szCs w:val="33"/>
        </w:rPr>
        <w:t xml:space="preserve"> </w:t>
      </w:r>
      <w:r>
        <w:rPr>
          <w:rFonts w:ascii="仿宋" w:hAnsi="仿宋" w:eastAsia="仿宋" w:cs="仿宋"/>
          <w:spacing w:val="-9"/>
          <w:sz w:val="33"/>
          <w:szCs w:val="33"/>
        </w:rPr>
        <w:t>形式展示。</w:t>
      </w:r>
      <w:r>
        <w:rPr>
          <w:rFonts w:ascii="仿宋" w:hAnsi="仿宋" w:eastAsia="仿宋" w:cs="仿宋"/>
          <w:sz w:val="33"/>
          <w:szCs w:val="33"/>
        </w:rPr>
        <w:t xml:space="preserve"> </w:t>
      </w:r>
      <w:r>
        <w:rPr>
          <w:rFonts w:ascii="仿宋" w:hAnsi="仿宋" w:eastAsia="仿宋" w:cs="仿宋"/>
          <w:spacing w:val="-12"/>
          <w:sz w:val="33"/>
          <w:szCs w:val="33"/>
        </w:rPr>
        <w:t>申报材料须真实规范，禁止虚假、重复申报。</w:t>
      </w:r>
    </w:p>
    <w:p w14:paraId="37D3874E">
      <w:pPr>
        <w:spacing w:before="195" w:line="270" w:lineRule="auto"/>
        <w:ind w:right="81" w:firstLine="669"/>
        <w:rPr>
          <w:rFonts w:ascii="仿宋" w:hAnsi="仿宋" w:eastAsia="仿宋" w:cs="仿宋"/>
          <w:sz w:val="33"/>
          <w:szCs w:val="33"/>
        </w:rPr>
      </w:pPr>
      <w:r>
        <w:rPr>
          <w:rFonts w:ascii="仿宋" w:hAnsi="仿宋" w:eastAsia="仿宋" w:cs="仿宋"/>
          <w:spacing w:val="6"/>
          <w:sz w:val="33"/>
          <w:szCs w:val="33"/>
        </w:rPr>
        <w:t>3.工作安排。即日起至2026年9月30日，</w:t>
      </w:r>
      <w:r>
        <w:rPr>
          <w:rFonts w:ascii="仿宋" w:hAnsi="仿宋" w:eastAsia="仿宋" w:cs="仿宋"/>
          <w:spacing w:val="5"/>
          <w:sz w:val="33"/>
          <w:szCs w:val="33"/>
        </w:rPr>
        <w:t>集中征集科技成</w:t>
      </w:r>
      <w:r>
        <w:rPr>
          <w:rFonts w:ascii="仿宋" w:hAnsi="仿宋" w:eastAsia="仿宋" w:cs="仿宋"/>
          <w:sz w:val="33"/>
          <w:szCs w:val="33"/>
        </w:rPr>
        <w:t xml:space="preserve"> </w:t>
      </w:r>
      <w:r>
        <w:rPr>
          <w:rFonts w:ascii="仿宋" w:hAnsi="仿宋" w:eastAsia="仿宋" w:cs="仿宋"/>
          <w:spacing w:val="-2"/>
          <w:sz w:val="33"/>
          <w:szCs w:val="33"/>
        </w:rPr>
        <w:t>果，后续常态化征集。10月—11月组织专家对推荐项目进行筛</w:t>
      </w:r>
      <w:r>
        <w:rPr>
          <w:rFonts w:ascii="仿宋" w:hAnsi="仿宋" w:eastAsia="仿宋" w:cs="仿宋"/>
          <w:sz w:val="33"/>
          <w:szCs w:val="33"/>
        </w:rPr>
        <w:t xml:space="preserve"> </w:t>
      </w:r>
      <w:r>
        <w:rPr>
          <w:rFonts w:ascii="仿宋" w:hAnsi="仿宋" w:eastAsia="仿宋" w:cs="仿宋"/>
          <w:spacing w:val="-10"/>
          <w:sz w:val="33"/>
          <w:szCs w:val="33"/>
        </w:rPr>
        <w:t>选，确定入选路演项目名单。</w:t>
      </w:r>
    </w:p>
    <w:p w14:paraId="72058177">
      <w:pPr>
        <w:spacing w:before="119" w:line="222" w:lineRule="auto"/>
        <w:ind w:left="779"/>
        <w:rPr>
          <w:rFonts w:ascii="楷体" w:hAnsi="楷体" w:eastAsia="楷体" w:cs="楷体"/>
          <w:sz w:val="33"/>
          <w:szCs w:val="33"/>
        </w:rPr>
      </w:pPr>
      <w:r>
        <w:rPr>
          <w:rFonts w:ascii="楷体" w:hAnsi="楷体" w:eastAsia="楷体" w:cs="楷体"/>
          <w:spacing w:val="-6"/>
          <w:sz w:val="33"/>
          <w:szCs w:val="33"/>
        </w:rPr>
        <w:t>(二)“百场千项” 科技成果集中路演活动</w:t>
      </w:r>
    </w:p>
    <w:p w14:paraId="4D4754E4">
      <w:pPr>
        <w:spacing w:before="131" w:line="285" w:lineRule="auto"/>
        <w:ind w:right="113" w:firstLine="669"/>
        <w:rPr>
          <w:rFonts w:ascii="仿宋" w:hAnsi="仿宋" w:eastAsia="仿宋" w:cs="仿宋"/>
          <w:sz w:val="35"/>
          <w:szCs w:val="35"/>
        </w:rPr>
      </w:pPr>
      <w:r>
        <w:rPr>
          <w:rFonts w:ascii="仿宋" w:hAnsi="仿宋" w:eastAsia="仿宋" w:cs="仿宋"/>
          <w:spacing w:val="-5"/>
          <w:sz w:val="35"/>
          <w:szCs w:val="35"/>
        </w:rPr>
        <w:t>活动拟于2026年12月举办，采用“1个主会场+N</w:t>
      </w:r>
      <w:r>
        <w:rPr>
          <w:rFonts w:ascii="仿宋" w:hAnsi="仿宋" w:eastAsia="仿宋" w:cs="仿宋"/>
          <w:spacing w:val="-39"/>
          <w:sz w:val="35"/>
          <w:szCs w:val="35"/>
        </w:rPr>
        <w:t xml:space="preserve"> </w:t>
      </w:r>
      <w:r>
        <w:rPr>
          <w:rFonts w:ascii="仿宋" w:hAnsi="仿宋" w:eastAsia="仿宋" w:cs="仿宋"/>
          <w:spacing w:val="-5"/>
          <w:sz w:val="35"/>
          <w:szCs w:val="35"/>
        </w:rPr>
        <w:t>个产业</w:t>
      </w:r>
      <w:r>
        <w:rPr>
          <w:rFonts w:ascii="仿宋" w:hAnsi="仿宋" w:eastAsia="仿宋" w:cs="仿宋"/>
          <w:sz w:val="35"/>
          <w:szCs w:val="35"/>
        </w:rPr>
        <w:t xml:space="preserve"> </w:t>
      </w:r>
      <w:r>
        <w:rPr>
          <w:rFonts w:ascii="仿宋" w:hAnsi="仿宋" w:eastAsia="仿宋" w:cs="仿宋"/>
          <w:spacing w:val="-34"/>
          <w:sz w:val="35"/>
          <w:szCs w:val="35"/>
        </w:rPr>
        <w:t>分会场”的形式开展，主会场集中举办活动启动仪式、主旨演讲</w:t>
      </w:r>
    </w:p>
    <w:p w14:paraId="7E6A3DA8">
      <w:pPr>
        <w:spacing w:line="285" w:lineRule="auto"/>
        <w:rPr>
          <w:rFonts w:ascii="仿宋" w:hAnsi="仿宋" w:eastAsia="仿宋" w:cs="仿宋"/>
          <w:sz w:val="35"/>
          <w:szCs w:val="35"/>
        </w:rPr>
        <w:sectPr>
          <w:footerReference r:id="rId6" w:type="default"/>
          <w:pgSz w:w="11910" w:h="16840"/>
          <w:pgMar w:top="1431" w:right="1535" w:bottom="1171" w:left="1370" w:header="0" w:footer="819" w:gutter="0"/>
          <w:cols w:space="720" w:num="1"/>
        </w:sectPr>
      </w:pPr>
    </w:p>
    <w:p w14:paraId="1AA279B0">
      <w:pPr>
        <w:spacing w:line="276" w:lineRule="auto"/>
        <w:rPr>
          <w:rFonts w:ascii="Arial"/>
          <w:sz w:val="21"/>
        </w:rPr>
      </w:pPr>
    </w:p>
    <w:p w14:paraId="707EFFF6">
      <w:pPr>
        <w:spacing w:line="276" w:lineRule="auto"/>
        <w:rPr>
          <w:rFonts w:ascii="Arial"/>
          <w:sz w:val="21"/>
        </w:rPr>
      </w:pPr>
    </w:p>
    <w:p w14:paraId="6350FA80">
      <w:pPr>
        <w:spacing w:before="114" w:line="276" w:lineRule="auto"/>
        <w:jc w:val="both"/>
        <w:rPr>
          <w:rFonts w:ascii="仿宋" w:hAnsi="仿宋" w:eastAsia="仿宋" w:cs="仿宋"/>
          <w:sz w:val="35"/>
          <w:szCs w:val="35"/>
        </w:rPr>
      </w:pPr>
      <w:r>
        <w:rPr>
          <w:rFonts w:ascii="仿宋" w:hAnsi="仿宋" w:eastAsia="仿宋" w:cs="仿宋"/>
          <w:spacing w:val="-35"/>
          <w:sz w:val="35"/>
          <w:szCs w:val="35"/>
        </w:rPr>
        <w:t>与重大成果签约活动，各分会场围绕不同产业方向，组织对应领</w:t>
      </w:r>
      <w:r>
        <w:rPr>
          <w:rFonts w:ascii="仿宋" w:hAnsi="仿宋" w:eastAsia="仿宋" w:cs="仿宋"/>
          <w:spacing w:val="2"/>
          <w:sz w:val="35"/>
          <w:szCs w:val="35"/>
        </w:rPr>
        <w:t xml:space="preserve"> </w:t>
      </w:r>
      <w:r>
        <w:rPr>
          <w:rFonts w:ascii="仿宋" w:hAnsi="仿宋" w:eastAsia="仿宋" w:cs="仿宋"/>
          <w:spacing w:val="-34"/>
          <w:sz w:val="35"/>
          <w:szCs w:val="35"/>
        </w:rPr>
        <w:t>域项目开展路演推介。路演安排项目展示、专家点评、互动对接</w:t>
      </w:r>
      <w:r>
        <w:rPr>
          <w:rFonts w:ascii="仿宋" w:hAnsi="仿宋" w:eastAsia="仿宋" w:cs="仿宋"/>
          <w:sz w:val="35"/>
          <w:szCs w:val="35"/>
        </w:rPr>
        <w:t xml:space="preserve"> </w:t>
      </w:r>
      <w:r>
        <w:rPr>
          <w:rFonts w:ascii="仿宋" w:hAnsi="仿宋" w:eastAsia="仿宋" w:cs="仿宋"/>
          <w:spacing w:val="-35"/>
          <w:sz w:val="35"/>
          <w:szCs w:val="35"/>
        </w:rPr>
        <w:t>三个环节，由技术专家、产业投资人、企业技术负责人组成点评</w:t>
      </w:r>
      <w:r>
        <w:rPr>
          <w:rFonts w:ascii="仿宋" w:hAnsi="仿宋" w:eastAsia="仿宋" w:cs="仿宋"/>
          <w:sz w:val="35"/>
          <w:szCs w:val="35"/>
        </w:rPr>
        <w:t xml:space="preserve"> </w:t>
      </w:r>
      <w:r>
        <w:rPr>
          <w:rFonts w:ascii="仿宋" w:hAnsi="仿宋" w:eastAsia="仿宋" w:cs="仿宋"/>
          <w:spacing w:val="-41"/>
          <w:sz w:val="35"/>
          <w:szCs w:val="35"/>
        </w:rPr>
        <w:t>专家团，对路演项目进行针对性点评指导，促进成果方与需求方、</w:t>
      </w:r>
      <w:r>
        <w:rPr>
          <w:rFonts w:ascii="仿宋" w:hAnsi="仿宋" w:eastAsia="仿宋" w:cs="仿宋"/>
          <w:spacing w:val="12"/>
          <w:sz w:val="35"/>
          <w:szCs w:val="35"/>
        </w:rPr>
        <w:t xml:space="preserve"> </w:t>
      </w:r>
      <w:r>
        <w:rPr>
          <w:rFonts w:ascii="仿宋" w:hAnsi="仿宋" w:eastAsia="仿宋" w:cs="仿宋"/>
          <w:spacing w:val="-33"/>
          <w:sz w:val="35"/>
          <w:szCs w:val="35"/>
        </w:rPr>
        <w:t>资本方精准对接。</w:t>
      </w:r>
    </w:p>
    <w:p w14:paraId="128D7923">
      <w:pPr>
        <w:pStyle w:val="2"/>
        <w:spacing w:before="19" w:line="297" w:lineRule="auto"/>
        <w:ind w:right="117" w:firstLine="659"/>
        <w:jc w:val="both"/>
        <w:rPr>
          <w:sz w:val="33"/>
          <w:szCs w:val="33"/>
        </w:rPr>
      </w:pPr>
      <w:r>
        <w:rPr>
          <w:rFonts w:ascii="仿宋" w:hAnsi="仿宋" w:eastAsia="仿宋" w:cs="仿宋"/>
          <w:spacing w:val="-9"/>
          <w:sz w:val="33"/>
          <w:szCs w:val="33"/>
        </w:rPr>
        <w:t>请各相关高校对本校上报的科技成果项目材料汇总后(附件</w:t>
      </w:r>
      <w:r>
        <w:rPr>
          <w:rFonts w:ascii="仿宋" w:hAnsi="仿宋" w:eastAsia="仿宋" w:cs="仿宋"/>
          <w:spacing w:val="9"/>
          <w:sz w:val="33"/>
          <w:szCs w:val="33"/>
        </w:rPr>
        <w:t xml:space="preserve"> </w:t>
      </w:r>
      <w:r>
        <w:rPr>
          <w:rFonts w:ascii="仿宋" w:hAnsi="仿宋" w:eastAsia="仿宋" w:cs="仿宋"/>
          <w:spacing w:val="16"/>
          <w:sz w:val="33"/>
          <w:szCs w:val="33"/>
        </w:rPr>
        <w:t>2</w:t>
      </w:r>
      <w:r>
        <w:rPr>
          <w:rFonts w:ascii="仿宋" w:hAnsi="仿宋" w:eastAsia="仿宋" w:cs="仿宋"/>
          <w:spacing w:val="72"/>
          <w:sz w:val="33"/>
          <w:szCs w:val="33"/>
        </w:rPr>
        <w:t xml:space="preserve"> </w:t>
      </w:r>
      <w:r>
        <w:rPr>
          <w:rFonts w:ascii="仿宋" w:hAnsi="仿宋" w:eastAsia="仿宋" w:cs="仿宋"/>
          <w:spacing w:val="16"/>
          <w:sz w:val="33"/>
          <w:szCs w:val="33"/>
        </w:rPr>
        <w:t xml:space="preserve">和路演 </w:t>
      </w:r>
      <w:r>
        <w:rPr>
          <w:rFonts w:ascii="Times New Roman" w:hAnsi="Times New Roman" w:eastAsia="Times New Roman" w:cs="Times New Roman"/>
          <w:sz w:val="33"/>
          <w:szCs w:val="33"/>
        </w:rPr>
        <w:t>PPT</w:t>
      </w:r>
      <w:r>
        <w:rPr>
          <w:rFonts w:ascii="Times New Roman" w:hAnsi="Times New Roman" w:eastAsia="Times New Roman" w:cs="Times New Roman"/>
          <w:spacing w:val="16"/>
          <w:sz w:val="33"/>
          <w:szCs w:val="33"/>
        </w:rPr>
        <w:t xml:space="preserve">)   </w:t>
      </w:r>
      <w:r>
        <w:rPr>
          <w:rFonts w:ascii="仿宋" w:hAnsi="仿宋" w:eastAsia="仿宋" w:cs="仿宋"/>
          <w:spacing w:val="16"/>
          <w:sz w:val="33"/>
          <w:szCs w:val="33"/>
        </w:rPr>
        <w:t>统一发送至合肥国家大学科技园联系邮箱</w:t>
      </w:r>
      <w:r>
        <w:rPr>
          <w:rFonts w:ascii="仿宋" w:hAnsi="仿宋" w:eastAsia="仿宋" w:cs="仿宋"/>
          <w:sz w:val="33"/>
          <w:szCs w:val="33"/>
        </w:rPr>
        <w:t xml:space="preserve"> </w:t>
      </w:r>
      <w:r>
        <w:rPr>
          <w:rFonts w:ascii="Times New Roman" w:hAnsi="Times New Roman" w:eastAsia="Times New Roman" w:cs="Times New Roman"/>
          <w:spacing w:val="-5"/>
          <w:sz w:val="33"/>
          <w:szCs w:val="33"/>
        </w:rPr>
        <w:t>751917@qq.com</w:t>
      </w:r>
      <w:r>
        <w:rPr>
          <w:spacing w:val="-5"/>
          <w:sz w:val="33"/>
          <w:szCs w:val="33"/>
        </w:rPr>
        <w:t>。</w:t>
      </w:r>
    </w:p>
    <w:p w14:paraId="4D67E4E8">
      <w:pPr>
        <w:spacing w:before="4" w:line="291" w:lineRule="auto"/>
        <w:ind w:right="120" w:firstLine="659"/>
        <w:rPr>
          <w:rFonts w:ascii="仿宋" w:hAnsi="仿宋" w:eastAsia="仿宋" w:cs="仿宋"/>
          <w:sz w:val="33"/>
          <w:szCs w:val="33"/>
        </w:rPr>
      </w:pPr>
      <w:r>
        <w:rPr>
          <w:rFonts w:ascii="仿宋" w:hAnsi="仿宋" w:eastAsia="仿宋" w:cs="仿宋"/>
          <w:spacing w:val="44"/>
          <w:sz w:val="33"/>
          <w:szCs w:val="33"/>
        </w:rPr>
        <w:t>联系人：合肥国家大学科技园</w:t>
      </w:r>
      <w:r>
        <w:rPr>
          <w:rFonts w:ascii="仿宋" w:hAnsi="仿宋" w:eastAsia="仿宋" w:cs="仿宋"/>
          <w:spacing w:val="145"/>
          <w:sz w:val="33"/>
          <w:szCs w:val="33"/>
        </w:rPr>
        <w:t xml:space="preserve"> </w:t>
      </w:r>
      <w:r>
        <w:rPr>
          <w:rFonts w:ascii="仿宋" w:hAnsi="仿宋" w:eastAsia="仿宋" w:cs="仿宋"/>
          <w:spacing w:val="44"/>
          <w:sz w:val="33"/>
          <w:szCs w:val="33"/>
        </w:rPr>
        <w:t>杜明，联系电话：</w:t>
      </w:r>
      <w:r>
        <w:rPr>
          <w:rFonts w:ascii="仿宋" w:hAnsi="仿宋" w:eastAsia="仿宋" w:cs="仿宋"/>
          <w:sz w:val="33"/>
          <w:szCs w:val="33"/>
        </w:rPr>
        <w:t xml:space="preserve"> </w:t>
      </w:r>
      <w:r>
        <w:rPr>
          <w:rFonts w:ascii="仿宋" w:hAnsi="仿宋" w:eastAsia="仿宋" w:cs="仿宋"/>
          <w:spacing w:val="-6"/>
          <w:sz w:val="33"/>
          <w:szCs w:val="33"/>
        </w:rPr>
        <w:t>0551-65323960、13515518817;教育部安徽高等研究院成果转化</w:t>
      </w:r>
      <w:r>
        <w:rPr>
          <w:rFonts w:ascii="仿宋" w:hAnsi="仿宋" w:eastAsia="仿宋" w:cs="仿宋"/>
          <w:spacing w:val="18"/>
          <w:sz w:val="33"/>
          <w:szCs w:val="33"/>
        </w:rPr>
        <w:t xml:space="preserve"> </w:t>
      </w:r>
      <w:r>
        <w:rPr>
          <w:rFonts w:ascii="仿宋" w:hAnsi="仿宋" w:eastAsia="仿宋" w:cs="仿宋"/>
          <w:spacing w:val="-2"/>
          <w:sz w:val="33"/>
          <w:szCs w:val="33"/>
        </w:rPr>
        <w:t>部臧洪梅，联系电话：15855176130。</w:t>
      </w:r>
    </w:p>
    <w:p w14:paraId="16D13CF1">
      <w:pPr>
        <w:spacing w:line="378" w:lineRule="auto"/>
        <w:rPr>
          <w:rFonts w:ascii="Arial"/>
          <w:sz w:val="21"/>
        </w:rPr>
      </w:pPr>
    </w:p>
    <w:p w14:paraId="7F07234C">
      <w:pPr>
        <w:spacing w:before="114" w:line="222" w:lineRule="auto"/>
        <w:ind w:left="659"/>
        <w:rPr>
          <w:rFonts w:ascii="仿宋" w:hAnsi="仿宋" w:eastAsia="仿宋" w:cs="仿宋"/>
          <w:sz w:val="35"/>
          <w:szCs w:val="35"/>
        </w:rPr>
      </w:pPr>
      <w:r>
        <w:rPr>
          <w:rFonts w:ascii="仿宋" w:hAnsi="仿宋" w:eastAsia="仿宋" w:cs="仿宋"/>
          <w:spacing w:val="-33"/>
          <w:sz w:val="35"/>
          <w:szCs w:val="35"/>
        </w:rPr>
        <w:t>附件：1.高校联系人信息表</w:t>
      </w:r>
    </w:p>
    <w:p w14:paraId="13E7F3D1">
      <w:pPr>
        <w:spacing w:before="109" w:line="222" w:lineRule="auto"/>
        <w:ind w:left="1619"/>
        <w:rPr>
          <w:rFonts w:ascii="仿宋" w:hAnsi="仿宋" w:eastAsia="仿宋" w:cs="仿宋"/>
          <w:sz w:val="35"/>
          <w:szCs w:val="35"/>
        </w:rPr>
      </w:pPr>
      <w:r>
        <w:rPr>
          <w:rFonts w:ascii="仿宋" w:hAnsi="仿宋" w:eastAsia="仿宋" w:cs="仿宋"/>
          <w:spacing w:val="-24"/>
          <w:sz w:val="35"/>
          <w:szCs w:val="35"/>
        </w:rPr>
        <w:t>2.2026年安徽省高校科技成果路演项目征集报名表</w:t>
      </w:r>
    </w:p>
    <w:p w14:paraId="21E11122">
      <w:pPr>
        <w:spacing w:before="140" w:line="222" w:lineRule="auto"/>
        <w:ind w:left="1630"/>
        <w:rPr>
          <w:rFonts w:ascii="仿宋" w:hAnsi="仿宋" w:eastAsia="仿宋" w:cs="仿宋"/>
          <w:sz w:val="32"/>
          <w:szCs w:val="32"/>
        </w:rPr>
      </w:pPr>
      <w:r>
        <w:drawing>
          <wp:anchor distT="0" distB="0" distL="0" distR="0" simplePos="0" relativeHeight="251660288" behindDoc="0" locked="0" layoutInCell="1" allowOverlap="1">
            <wp:simplePos x="0" y="0"/>
            <wp:positionH relativeFrom="column">
              <wp:posOffset>399415</wp:posOffset>
            </wp:positionH>
            <wp:positionV relativeFrom="paragraph">
              <wp:posOffset>304800</wp:posOffset>
            </wp:positionV>
            <wp:extent cx="1517650" cy="15113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2"/>
                    <a:stretch>
                      <a:fillRect/>
                    </a:stretch>
                  </pic:blipFill>
                  <pic:spPr>
                    <a:xfrm>
                      <a:off x="0" y="0"/>
                      <a:ext cx="1517637" cy="1511298"/>
                    </a:xfrm>
                    <a:prstGeom prst="rect">
                      <a:avLst/>
                    </a:prstGeom>
                  </pic:spPr>
                </pic:pic>
              </a:graphicData>
            </a:graphic>
          </wp:anchor>
        </w:drawing>
      </w:r>
      <w:r>
        <w:rPr>
          <w:rFonts w:ascii="仿宋" w:hAnsi="仿宋" w:eastAsia="仿宋" w:cs="仿宋"/>
          <w:spacing w:val="-12"/>
          <w:sz w:val="32"/>
          <w:szCs w:val="32"/>
        </w:rPr>
        <w:t>3.路演</w:t>
      </w:r>
      <w:r>
        <w:rPr>
          <w:rFonts w:ascii="仿宋" w:hAnsi="仿宋" w:eastAsia="仿宋" w:cs="仿宋"/>
          <w:spacing w:val="-90"/>
          <w:sz w:val="32"/>
          <w:szCs w:val="32"/>
        </w:rPr>
        <w:t xml:space="preserve"> </w:t>
      </w:r>
      <w:r>
        <w:rPr>
          <w:rFonts w:ascii="Times New Roman" w:hAnsi="Times New Roman" w:eastAsia="Times New Roman" w:cs="Times New Roman"/>
          <w:spacing w:val="-12"/>
          <w:sz w:val="32"/>
          <w:szCs w:val="32"/>
        </w:rPr>
        <w:t>PPT</w:t>
      </w:r>
      <w:r>
        <w:rPr>
          <w:rFonts w:ascii="Times New Roman" w:hAnsi="Times New Roman" w:eastAsia="Times New Roman" w:cs="Times New Roman"/>
          <w:spacing w:val="24"/>
          <w:sz w:val="32"/>
          <w:szCs w:val="32"/>
        </w:rPr>
        <w:t xml:space="preserve"> </w:t>
      </w:r>
      <w:r>
        <w:rPr>
          <w:rFonts w:ascii="仿宋" w:hAnsi="仿宋" w:eastAsia="仿宋" w:cs="仿宋"/>
          <w:spacing w:val="-12"/>
          <w:sz w:val="32"/>
          <w:szCs w:val="32"/>
        </w:rPr>
        <w:t>格式提纲</w:t>
      </w:r>
    </w:p>
    <w:p w14:paraId="7BC93D14">
      <w:pPr>
        <w:spacing w:line="293" w:lineRule="auto"/>
        <w:rPr>
          <w:rFonts w:ascii="Arial"/>
          <w:sz w:val="21"/>
        </w:rPr>
      </w:pPr>
    </w:p>
    <w:p w14:paraId="272AEBE2">
      <w:pPr>
        <w:spacing w:line="293" w:lineRule="auto"/>
        <w:rPr>
          <w:rFonts w:ascii="Arial"/>
          <w:sz w:val="21"/>
        </w:rPr>
      </w:pPr>
    </w:p>
    <w:p w14:paraId="66B675C6">
      <w:pPr>
        <w:spacing w:line="293" w:lineRule="auto"/>
        <w:rPr>
          <w:rFonts w:ascii="Arial"/>
          <w:sz w:val="21"/>
        </w:rPr>
      </w:pPr>
    </w:p>
    <w:p w14:paraId="104E0B0D">
      <w:pPr>
        <w:spacing w:line="294" w:lineRule="auto"/>
        <w:rPr>
          <w:rFonts w:ascii="Arial"/>
          <w:sz w:val="21"/>
        </w:rPr>
      </w:pPr>
    </w:p>
    <w:p w14:paraId="6A45E4BB">
      <w:pPr>
        <w:spacing w:before="105" w:line="222" w:lineRule="auto"/>
        <w:ind w:left="4279"/>
        <w:rPr>
          <w:rFonts w:ascii="仿宋" w:hAnsi="仿宋" w:eastAsia="仿宋" w:cs="仿宋"/>
          <w:sz w:val="32"/>
          <w:szCs w:val="32"/>
        </w:rPr>
      </w:pPr>
      <w:r>
        <w:pict>
          <v:shape id="_x0000_s1026" o:spid="_x0000_s1026" o:spt="202" type="#_x0000_t202" style="position:absolute;left:0pt;margin-left:38.45pt;margin-top:0.25pt;height:21.9pt;width:96.1pt;z-index:251659264;mso-width-relative:page;mso-height-relative:page;" filled="f" stroked="f" coordsize="21600,21600">
            <v:path/>
            <v:fill on="f" focussize="0,0"/>
            <v:stroke on="f"/>
            <v:imagedata o:title=""/>
            <o:lock v:ext="edit" aspectratio="f"/>
            <v:textbox inset="0mm,0mm,0mm,0mm">
              <w:txbxContent>
                <w:p w14:paraId="5A46650C">
                  <w:pPr>
                    <w:spacing w:before="20" w:line="222" w:lineRule="auto"/>
                    <w:ind w:left="20"/>
                    <w:rPr>
                      <w:rFonts w:ascii="仿宋" w:hAnsi="仿宋" w:eastAsia="仿宋" w:cs="仿宋"/>
                      <w:sz w:val="33"/>
                      <w:szCs w:val="33"/>
                    </w:rPr>
                  </w:pPr>
                  <w:r>
                    <w:rPr>
                      <w:rFonts w:ascii="仿宋" w:hAnsi="仿宋" w:eastAsia="仿宋" w:cs="仿宋"/>
                      <w:spacing w:val="-14"/>
                      <w:sz w:val="33"/>
                      <w:szCs w:val="33"/>
                    </w:rPr>
                    <w:t>安徽省教育厅</w:t>
                  </w:r>
                </w:p>
              </w:txbxContent>
            </v:textbox>
          </v:shape>
        </w:pict>
      </w:r>
      <w:r>
        <w:drawing>
          <wp:anchor distT="0" distB="0" distL="0" distR="0" simplePos="0" relativeHeight="251664384" behindDoc="0" locked="0" layoutInCell="1" allowOverlap="1">
            <wp:simplePos x="0" y="0"/>
            <wp:positionH relativeFrom="column">
              <wp:posOffset>3390265</wp:posOffset>
            </wp:positionH>
            <wp:positionV relativeFrom="paragraph">
              <wp:posOffset>-784225</wp:posOffset>
            </wp:positionV>
            <wp:extent cx="1517650" cy="14986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3"/>
                    <a:stretch>
                      <a:fillRect/>
                    </a:stretch>
                  </pic:blipFill>
                  <pic:spPr>
                    <a:xfrm>
                      <a:off x="0" y="0"/>
                      <a:ext cx="1517636" cy="1498573"/>
                    </a:xfrm>
                    <a:prstGeom prst="rect">
                      <a:avLst/>
                    </a:prstGeom>
                  </pic:spPr>
                </pic:pic>
              </a:graphicData>
            </a:graphic>
          </wp:anchor>
        </w:drawing>
      </w:r>
      <w:r>
        <w:rPr>
          <w:rFonts w:ascii="仿宋" w:hAnsi="仿宋" w:eastAsia="仿宋" w:cs="仿宋"/>
          <w:spacing w:val="-6"/>
          <w:sz w:val="32"/>
          <w:szCs w:val="32"/>
        </w:rPr>
        <w:t>安徽省国有资产监督管理委员会</w:t>
      </w:r>
    </w:p>
    <w:p w14:paraId="6CCC513A">
      <w:pPr>
        <w:spacing w:line="270" w:lineRule="auto"/>
        <w:rPr>
          <w:rFonts w:ascii="Arial"/>
          <w:sz w:val="21"/>
        </w:rPr>
      </w:pPr>
    </w:p>
    <w:p w14:paraId="6FBFBF53">
      <w:pPr>
        <w:spacing w:line="271" w:lineRule="auto"/>
        <w:rPr>
          <w:rFonts w:ascii="Arial"/>
          <w:sz w:val="21"/>
        </w:rPr>
      </w:pPr>
    </w:p>
    <w:p w14:paraId="03FD53C9">
      <w:pPr>
        <w:spacing w:line="271" w:lineRule="auto"/>
        <w:rPr>
          <w:rFonts w:ascii="Arial"/>
          <w:sz w:val="21"/>
        </w:rPr>
      </w:pPr>
    </w:p>
    <w:p w14:paraId="456E1011">
      <w:pPr>
        <w:spacing w:line="271" w:lineRule="auto"/>
        <w:rPr>
          <w:rFonts w:ascii="Arial"/>
          <w:sz w:val="21"/>
        </w:rPr>
      </w:pPr>
    </w:p>
    <w:p w14:paraId="467DC79C">
      <w:pPr>
        <w:spacing w:line="271" w:lineRule="auto"/>
        <w:rPr>
          <w:rFonts w:ascii="Arial"/>
          <w:sz w:val="21"/>
        </w:rPr>
      </w:pPr>
    </w:p>
    <w:p w14:paraId="3D142C32">
      <w:pPr>
        <w:spacing w:line="271" w:lineRule="auto"/>
        <w:rPr>
          <w:rFonts w:ascii="Arial"/>
          <w:sz w:val="21"/>
        </w:rPr>
      </w:pPr>
    </w:p>
    <w:p w14:paraId="1A2C22AF">
      <w:pPr>
        <w:spacing w:before="108" w:line="222" w:lineRule="auto"/>
        <w:ind w:left="4969"/>
        <w:rPr>
          <w:rFonts w:ascii="仿宋" w:hAnsi="仿宋" w:eastAsia="仿宋" w:cs="仿宋"/>
          <w:sz w:val="33"/>
          <w:szCs w:val="33"/>
        </w:rPr>
      </w:pPr>
      <w:r>
        <w:pict>
          <v:shape id="_x0000_s1027" o:spid="_x0000_s1027" o:spt="202" type="#_x0000_t202" style="position:absolute;left:0pt;margin-left:16.95pt;margin-top:3.9pt;height:21.3pt;width:128.8pt;z-index:251661312;mso-width-relative:page;mso-height-relative:page;" filled="f" stroked="f" coordsize="21600,21600">
            <v:path/>
            <v:fill on="f" focussize="0,0"/>
            <v:stroke on="f"/>
            <v:imagedata o:title=""/>
            <o:lock v:ext="edit" aspectratio="f"/>
            <v:textbox inset="0mm,0mm,0mm,0mm">
              <w:txbxContent>
                <w:p w14:paraId="1D53D0C4">
                  <w:pPr>
                    <w:spacing w:before="20" w:line="222" w:lineRule="auto"/>
                    <w:ind w:left="20"/>
                    <w:rPr>
                      <w:rFonts w:ascii="仿宋" w:hAnsi="仿宋" w:eastAsia="仿宋" w:cs="仿宋"/>
                      <w:sz w:val="32"/>
                      <w:szCs w:val="32"/>
                    </w:rPr>
                  </w:pPr>
                  <w:r>
                    <w:rPr>
                      <w:rFonts w:ascii="仿宋" w:hAnsi="仿宋" w:eastAsia="仿宋" w:cs="仿宋"/>
                      <w:spacing w:val="-3"/>
                      <w:sz w:val="32"/>
                      <w:szCs w:val="32"/>
                    </w:rPr>
                    <w:t>安徽省科学技术厅</w:t>
                  </w:r>
                </w:p>
              </w:txbxContent>
            </v:textbox>
          </v:shape>
        </w:pict>
      </w:r>
      <w:r>
        <w:drawing>
          <wp:anchor distT="0" distB="0" distL="0" distR="0" simplePos="0" relativeHeight="251663360" behindDoc="0" locked="0" layoutInCell="1" allowOverlap="1">
            <wp:simplePos x="0" y="0"/>
            <wp:positionH relativeFrom="column">
              <wp:posOffset>3422015</wp:posOffset>
            </wp:positionH>
            <wp:positionV relativeFrom="paragraph">
              <wp:posOffset>-578485</wp:posOffset>
            </wp:positionV>
            <wp:extent cx="1517650" cy="15113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4"/>
                    <a:stretch>
                      <a:fillRect/>
                    </a:stretch>
                  </pic:blipFill>
                  <pic:spPr>
                    <a:xfrm>
                      <a:off x="0" y="0"/>
                      <a:ext cx="1517637" cy="1511298"/>
                    </a:xfrm>
                    <a:prstGeom prst="rect">
                      <a:avLst/>
                    </a:prstGeom>
                  </pic:spPr>
                </pic:pic>
              </a:graphicData>
            </a:graphic>
          </wp:anchor>
        </w:drawing>
      </w:r>
      <w:r>
        <w:rPr>
          <w:rFonts w:ascii="仿宋" w:hAnsi="仿宋" w:eastAsia="仿宋" w:cs="仿宋"/>
          <w:spacing w:val="-15"/>
          <w:sz w:val="33"/>
          <w:szCs w:val="33"/>
        </w:rPr>
        <w:t>安徽省工亚和信息化厅</w:t>
      </w:r>
    </w:p>
    <w:p w14:paraId="1E20A4FF">
      <w:pPr>
        <w:spacing w:before="156" w:line="222" w:lineRule="auto"/>
        <w:ind w:left="5299"/>
        <w:rPr>
          <w:rFonts w:ascii="仿宋" w:hAnsi="仿宋" w:eastAsia="仿宋" w:cs="仿宋"/>
          <w:sz w:val="33"/>
          <w:szCs w:val="33"/>
        </w:rPr>
      </w:pPr>
      <w:r>
        <w:rPr>
          <w:rFonts w:ascii="仿宋" w:hAnsi="仿宋" w:eastAsia="仿宋" w:cs="仿宋"/>
          <w:spacing w:val="36"/>
          <w:sz w:val="33"/>
          <w:szCs w:val="33"/>
        </w:rPr>
        <w:t>2026年9月3日</w:t>
      </w:r>
    </w:p>
    <w:p w14:paraId="0F232ECB">
      <w:pPr>
        <w:spacing w:before="113" w:line="222" w:lineRule="auto"/>
        <w:ind w:left="789"/>
        <w:rPr>
          <w:rFonts w:ascii="仿宋" w:hAnsi="仿宋" w:eastAsia="仿宋" w:cs="仿宋"/>
          <w:sz w:val="32"/>
          <w:szCs w:val="32"/>
        </w:rPr>
      </w:pPr>
      <w:r>
        <w:drawing>
          <wp:anchor distT="0" distB="0" distL="0" distR="0" simplePos="0" relativeHeight="251662336" behindDoc="0" locked="0" layoutInCell="1" allowOverlap="1">
            <wp:simplePos x="0" y="0"/>
            <wp:positionH relativeFrom="column">
              <wp:posOffset>310515</wp:posOffset>
            </wp:positionH>
            <wp:positionV relativeFrom="paragraph">
              <wp:posOffset>-1217295</wp:posOffset>
            </wp:positionV>
            <wp:extent cx="1511935" cy="15049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5"/>
                    <a:stretch>
                      <a:fillRect/>
                    </a:stretch>
                  </pic:blipFill>
                  <pic:spPr>
                    <a:xfrm>
                      <a:off x="0" y="0"/>
                      <a:ext cx="1511819" cy="1504960"/>
                    </a:xfrm>
                    <a:prstGeom prst="rect">
                      <a:avLst/>
                    </a:prstGeom>
                  </pic:spPr>
                </pic:pic>
              </a:graphicData>
            </a:graphic>
          </wp:anchor>
        </w:drawing>
      </w:r>
      <w:r>
        <w:rPr>
          <w:rFonts w:ascii="仿宋" w:hAnsi="仿宋" w:eastAsia="仿宋" w:cs="仿宋"/>
          <w:spacing w:val="15"/>
          <w:sz w:val="32"/>
          <w:szCs w:val="32"/>
        </w:rPr>
        <w:t>(此件主动公开)</w:t>
      </w:r>
    </w:p>
    <w:p w14:paraId="4005D2E5">
      <w:pPr>
        <w:spacing w:line="222" w:lineRule="auto"/>
        <w:rPr>
          <w:rFonts w:ascii="仿宋" w:hAnsi="仿宋" w:eastAsia="仿宋" w:cs="仿宋"/>
          <w:sz w:val="32"/>
          <w:szCs w:val="32"/>
        </w:rPr>
        <w:sectPr>
          <w:footerReference r:id="rId7" w:type="default"/>
          <w:pgSz w:w="11910" w:h="16840"/>
          <w:pgMar w:top="1431" w:right="1475" w:bottom="1263" w:left="1460" w:header="0" w:footer="926" w:gutter="0"/>
          <w:cols w:space="720" w:num="1"/>
        </w:sectPr>
      </w:pPr>
    </w:p>
    <w:p w14:paraId="3B545301">
      <w:pPr>
        <w:spacing w:line="442" w:lineRule="auto"/>
        <w:rPr>
          <w:rFonts w:ascii="Arial"/>
          <w:sz w:val="21"/>
        </w:rPr>
      </w:pPr>
    </w:p>
    <w:p w14:paraId="7F5B6ADB">
      <w:pPr>
        <w:spacing w:before="111" w:line="224" w:lineRule="auto"/>
        <w:ind w:left="125"/>
        <w:rPr>
          <w:rFonts w:ascii="黑体" w:hAnsi="黑体" w:eastAsia="黑体" w:cs="黑体"/>
          <w:sz w:val="34"/>
          <w:szCs w:val="34"/>
        </w:rPr>
      </w:pPr>
      <w:r>
        <w:rPr>
          <w:rFonts w:ascii="黑体" w:hAnsi="黑体" w:eastAsia="黑体" w:cs="黑体"/>
          <w:spacing w:val="19"/>
          <w:sz w:val="34"/>
          <w:szCs w:val="34"/>
        </w:rPr>
        <w:t>附件1</w:t>
      </w:r>
    </w:p>
    <w:p w14:paraId="6F7D0760">
      <w:pPr>
        <w:pStyle w:val="2"/>
        <w:spacing w:before="159" w:line="219" w:lineRule="auto"/>
        <w:ind w:left="5740"/>
        <w:rPr>
          <w:sz w:val="39"/>
          <w:szCs w:val="39"/>
        </w:rPr>
      </w:pPr>
      <w:r>
        <w:rPr>
          <w:b/>
          <w:bCs/>
          <w:spacing w:val="-31"/>
          <w:sz w:val="39"/>
          <w:szCs w:val="39"/>
        </w:rPr>
        <w:t>高校联系人信息表</w:t>
      </w:r>
    </w:p>
    <w:p w14:paraId="141FA8D0">
      <w:pPr>
        <w:spacing w:line="81" w:lineRule="exact"/>
      </w:pPr>
    </w:p>
    <w:tbl>
      <w:tblPr>
        <w:tblStyle w:val="5"/>
        <w:tblW w:w="141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2588"/>
        <w:gridCol w:w="3607"/>
        <w:gridCol w:w="3068"/>
        <w:gridCol w:w="1739"/>
        <w:gridCol w:w="2213"/>
      </w:tblGrid>
      <w:tr w14:paraId="04EF4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934" w:type="dxa"/>
            <w:vAlign w:val="top"/>
          </w:tcPr>
          <w:p w14:paraId="072884B6">
            <w:pPr>
              <w:spacing w:before="178" w:line="221" w:lineRule="auto"/>
              <w:ind w:left="175"/>
              <w:rPr>
                <w:rFonts w:ascii="宋体" w:hAnsi="宋体" w:eastAsia="宋体" w:cs="宋体"/>
                <w:sz w:val="28"/>
                <w:szCs w:val="28"/>
              </w:rPr>
            </w:pPr>
            <w:r>
              <w:rPr>
                <w:rFonts w:ascii="宋体" w:hAnsi="宋体" w:eastAsia="宋体" w:cs="宋体"/>
                <w:spacing w:val="8"/>
                <w:sz w:val="28"/>
                <w:szCs w:val="28"/>
              </w:rPr>
              <w:t>序号</w:t>
            </w:r>
          </w:p>
        </w:tc>
        <w:tc>
          <w:tcPr>
            <w:tcW w:w="2588" w:type="dxa"/>
            <w:vAlign w:val="top"/>
          </w:tcPr>
          <w:p w14:paraId="5060E5A7">
            <w:pPr>
              <w:spacing w:before="176" w:line="219" w:lineRule="auto"/>
              <w:ind w:left="991"/>
              <w:rPr>
                <w:rFonts w:ascii="宋体" w:hAnsi="宋体" w:eastAsia="宋体" w:cs="宋体"/>
                <w:sz w:val="28"/>
                <w:szCs w:val="28"/>
              </w:rPr>
            </w:pPr>
            <w:r>
              <w:rPr>
                <w:rFonts w:ascii="宋体" w:hAnsi="宋体" w:eastAsia="宋体" w:cs="宋体"/>
                <w:spacing w:val="18"/>
                <w:sz w:val="28"/>
                <w:szCs w:val="28"/>
              </w:rPr>
              <w:t>姓名</w:t>
            </w:r>
          </w:p>
        </w:tc>
        <w:tc>
          <w:tcPr>
            <w:tcW w:w="3607" w:type="dxa"/>
            <w:vAlign w:val="top"/>
          </w:tcPr>
          <w:p w14:paraId="2DAE8320">
            <w:pPr>
              <w:spacing w:before="176" w:line="219" w:lineRule="auto"/>
              <w:ind w:left="1253"/>
              <w:rPr>
                <w:rFonts w:ascii="宋体" w:hAnsi="宋体" w:eastAsia="宋体" w:cs="宋体"/>
                <w:sz w:val="28"/>
                <w:szCs w:val="28"/>
              </w:rPr>
            </w:pPr>
            <w:r>
              <w:rPr>
                <w:rFonts w:ascii="宋体" w:hAnsi="宋体" w:eastAsia="宋体" w:cs="宋体"/>
                <w:spacing w:val="3"/>
                <w:sz w:val="28"/>
                <w:szCs w:val="28"/>
              </w:rPr>
              <w:t>高校名称</w:t>
            </w:r>
          </w:p>
        </w:tc>
        <w:tc>
          <w:tcPr>
            <w:tcW w:w="3068" w:type="dxa"/>
            <w:vAlign w:val="top"/>
          </w:tcPr>
          <w:p w14:paraId="105866EB">
            <w:pPr>
              <w:spacing w:before="176" w:line="219" w:lineRule="auto"/>
              <w:ind w:left="986"/>
              <w:rPr>
                <w:rFonts w:ascii="宋体" w:hAnsi="宋体" w:eastAsia="宋体" w:cs="宋体"/>
                <w:sz w:val="28"/>
                <w:szCs w:val="28"/>
              </w:rPr>
            </w:pPr>
            <w:r>
              <w:rPr>
                <w:rFonts w:ascii="宋体" w:hAnsi="宋体" w:eastAsia="宋体" w:cs="宋体"/>
                <w:spacing w:val="7"/>
                <w:sz w:val="28"/>
                <w:szCs w:val="28"/>
              </w:rPr>
              <w:t>所属部门</w:t>
            </w:r>
          </w:p>
        </w:tc>
        <w:tc>
          <w:tcPr>
            <w:tcW w:w="1739" w:type="dxa"/>
            <w:vAlign w:val="top"/>
          </w:tcPr>
          <w:p w14:paraId="45AD77EB">
            <w:pPr>
              <w:spacing w:before="176" w:line="219" w:lineRule="auto"/>
              <w:ind w:left="588"/>
              <w:rPr>
                <w:rFonts w:ascii="宋体" w:hAnsi="宋体" w:eastAsia="宋体" w:cs="宋体"/>
                <w:sz w:val="28"/>
                <w:szCs w:val="28"/>
              </w:rPr>
            </w:pPr>
            <w:r>
              <w:rPr>
                <w:rFonts w:ascii="宋体" w:hAnsi="宋体" w:eastAsia="宋体" w:cs="宋体"/>
                <w:spacing w:val="6"/>
                <w:sz w:val="28"/>
                <w:szCs w:val="28"/>
              </w:rPr>
              <w:t>职务</w:t>
            </w:r>
          </w:p>
        </w:tc>
        <w:tc>
          <w:tcPr>
            <w:tcW w:w="2213" w:type="dxa"/>
            <w:vAlign w:val="top"/>
          </w:tcPr>
          <w:p w14:paraId="73468E77">
            <w:pPr>
              <w:spacing w:before="180" w:line="221" w:lineRule="auto"/>
              <w:ind w:left="569"/>
              <w:rPr>
                <w:rFonts w:ascii="宋体" w:hAnsi="宋体" w:eastAsia="宋体" w:cs="宋体"/>
                <w:sz w:val="28"/>
                <w:szCs w:val="28"/>
              </w:rPr>
            </w:pPr>
            <w:r>
              <w:rPr>
                <w:rFonts w:ascii="宋体" w:hAnsi="宋体" w:eastAsia="宋体" w:cs="宋体"/>
                <w:spacing w:val="2"/>
                <w:sz w:val="28"/>
                <w:szCs w:val="28"/>
              </w:rPr>
              <w:t>联系电话</w:t>
            </w:r>
          </w:p>
        </w:tc>
      </w:tr>
      <w:tr w14:paraId="0F0FF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934" w:type="dxa"/>
            <w:vAlign w:val="top"/>
          </w:tcPr>
          <w:p w14:paraId="0A799C1D">
            <w:pPr>
              <w:pStyle w:val="6"/>
            </w:pPr>
          </w:p>
        </w:tc>
        <w:tc>
          <w:tcPr>
            <w:tcW w:w="2588" w:type="dxa"/>
            <w:vAlign w:val="top"/>
          </w:tcPr>
          <w:p w14:paraId="4EBD5B46">
            <w:pPr>
              <w:pStyle w:val="6"/>
            </w:pPr>
          </w:p>
        </w:tc>
        <w:tc>
          <w:tcPr>
            <w:tcW w:w="3607" w:type="dxa"/>
            <w:vAlign w:val="top"/>
          </w:tcPr>
          <w:p w14:paraId="77E332CD">
            <w:pPr>
              <w:pStyle w:val="6"/>
            </w:pPr>
          </w:p>
        </w:tc>
        <w:tc>
          <w:tcPr>
            <w:tcW w:w="3068" w:type="dxa"/>
            <w:vAlign w:val="top"/>
          </w:tcPr>
          <w:p w14:paraId="11BBAA3A">
            <w:pPr>
              <w:pStyle w:val="6"/>
            </w:pPr>
          </w:p>
        </w:tc>
        <w:tc>
          <w:tcPr>
            <w:tcW w:w="1739" w:type="dxa"/>
            <w:vAlign w:val="top"/>
          </w:tcPr>
          <w:p w14:paraId="117120B3">
            <w:pPr>
              <w:pStyle w:val="6"/>
            </w:pPr>
          </w:p>
        </w:tc>
        <w:tc>
          <w:tcPr>
            <w:tcW w:w="2213" w:type="dxa"/>
            <w:vAlign w:val="top"/>
          </w:tcPr>
          <w:p w14:paraId="5626D572">
            <w:pPr>
              <w:pStyle w:val="6"/>
            </w:pPr>
          </w:p>
        </w:tc>
      </w:tr>
      <w:tr w14:paraId="4F4EC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 w:type="dxa"/>
            <w:vAlign w:val="top"/>
          </w:tcPr>
          <w:p w14:paraId="6F1757DA">
            <w:pPr>
              <w:pStyle w:val="6"/>
            </w:pPr>
          </w:p>
        </w:tc>
        <w:tc>
          <w:tcPr>
            <w:tcW w:w="2588" w:type="dxa"/>
            <w:vAlign w:val="top"/>
          </w:tcPr>
          <w:p w14:paraId="027BFEDA">
            <w:pPr>
              <w:pStyle w:val="6"/>
            </w:pPr>
          </w:p>
        </w:tc>
        <w:tc>
          <w:tcPr>
            <w:tcW w:w="3607" w:type="dxa"/>
            <w:vAlign w:val="top"/>
          </w:tcPr>
          <w:p w14:paraId="404C62ED">
            <w:pPr>
              <w:pStyle w:val="6"/>
            </w:pPr>
          </w:p>
        </w:tc>
        <w:tc>
          <w:tcPr>
            <w:tcW w:w="3068" w:type="dxa"/>
            <w:vAlign w:val="top"/>
          </w:tcPr>
          <w:p w14:paraId="44F14EE0">
            <w:pPr>
              <w:pStyle w:val="6"/>
            </w:pPr>
          </w:p>
        </w:tc>
        <w:tc>
          <w:tcPr>
            <w:tcW w:w="1739" w:type="dxa"/>
            <w:vAlign w:val="top"/>
          </w:tcPr>
          <w:p w14:paraId="40C062D1">
            <w:pPr>
              <w:pStyle w:val="6"/>
            </w:pPr>
          </w:p>
        </w:tc>
        <w:tc>
          <w:tcPr>
            <w:tcW w:w="2213" w:type="dxa"/>
            <w:vAlign w:val="top"/>
          </w:tcPr>
          <w:p w14:paraId="672D76CB">
            <w:pPr>
              <w:pStyle w:val="6"/>
            </w:pPr>
          </w:p>
        </w:tc>
      </w:tr>
      <w:tr w14:paraId="7A32C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934" w:type="dxa"/>
            <w:vAlign w:val="top"/>
          </w:tcPr>
          <w:p w14:paraId="4C0439D5">
            <w:pPr>
              <w:pStyle w:val="6"/>
            </w:pPr>
          </w:p>
        </w:tc>
        <w:tc>
          <w:tcPr>
            <w:tcW w:w="2588" w:type="dxa"/>
            <w:vAlign w:val="top"/>
          </w:tcPr>
          <w:p w14:paraId="7A3A713A">
            <w:pPr>
              <w:pStyle w:val="6"/>
            </w:pPr>
          </w:p>
        </w:tc>
        <w:tc>
          <w:tcPr>
            <w:tcW w:w="3607" w:type="dxa"/>
            <w:vAlign w:val="top"/>
          </w:tcPr>
          <w:p w14:paraId="4B3EA0C4">
            <w:pPr>
              <w:pStyle w:val="6"/>
            </w:pPr>
          </w:p>
        </w:tc>
        <w:tc>
          <w:tcPr>
            <w:tcW w:w="3068" w:type="dxa"/>
            <w:vAlign w:val="top"/>
          </w:tcPr>
          <w:p w14:paraId="24648871">
            <w:pPr>
              <w:pStyle w:val="6"/>
            </w:pPr>
          </w:p>
        </w:tc>
        <w:tc>
          <w:tcPr>
            <w:tcW w:w="1739" w:type="dxa"/>
            <w:vAlign w:val="top"/>
          </w:tcPr>
          <w:p w14:paraId="2220E822">
            <w:pPr>
              <w:pStyle w:val="6"/>
            </w:pPr>
          </w:p>
        </w:tc>
        <w:tc>
          <w:tcPr>
            <w:tcW w:w="2213" w:type="dxa"/>
            <w:vAlign w:val="top"/>
          </w:tcPr>
          <w:p w14:paraId="7DB60031">
            <w:pPr>
              <w:pStyle w:val="6"/>
            </w:pPr>
          </w:p>
        </w:tc>
      </w:tr>
      <w:tr w14:paraId="3BE57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 w:type="dxa"/>
            <w:vAlign w:val="top"/>
          </w:tcPr>
          <w:p w14:paraId="28AC4999">
            <w:pPr>
              <w:pStyle w:val="6"/>
            </w:pPr>
          </w:p>
        </w:tc>
        <w:tc>
          <w:tcPr>
            <w:tcW w:w="2588" w:type="dxa"/>
            <w:vAlign w:val="top"/>
          </w:tcPr>
          <w:p w14:paraId="712C435A">
            <w:pPr>
              <w:pStyle w:val="6"/>
            </w:pPr>
          </w:p>
        </w:tc>
        <w:tc>
          <w:tcPr>
            <w:tcW w:w="3607" w:type="dxa"/>
            <w:vAlign w:val="top"/>
          </w:tcPr>
          <w:p w14:paraId="1174BF28">
            <w:pPr>
              <w:pStyle w:val="6"/>
            </w:pPr>
          </w:p>
        </w:tc>
        <w:tc>
          <w:tcPr>
            <w:tcW w:w="3068" w:type="dxa"/>
            <w:vAlign w:val="top"/>
          </w:tcPr>
          <w:p w14:paraId="1809CF23">
            <w:pPr>
              <w:pStyle w:val="6"/>
            </w:pPr>
          </w:p>
        </w:tc>
        <w:tc>
          <w:tcPr>
            <w:tcW w:w="1739" w:type="dxa"/>
            <w:vAlign w:val="top"/>
          </w:tcPr>
          <w:p w14:paraId="0D345F80">
            <w:pPr>
              <w:pStyle w:val="6"/>
            </w:pPr>
          </w:p>
        </w:tc>
        <w:tc>
          <w:tcPr>
            <w:tcW w:w="2213" w:type="dxa"/>
            <w:vAlign w:val="top"/>
          </w:tcPr>
          <w:p w14:paraId="6933FBB5">
            <w:pPr>
              <w:pStyle w:val="6"/>
            </w:pPr>
          </w:p>
        </w:tc>
      </w:tr>
      <w:tr w14:paraId="5E3CA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934" w:type="dxa"/>
            <w:vAlign w:val="top"/>
          </w:tcPr>
          <w:p w14:paraId="4F90EC2D">
            <w:pPr>
              <w:pStyle w:val="6"/>
            </w:pPr>
          </w:p>
        </w:tc>
        <w:tc>
          <w:tcPr>
            <w:tcW w:w="2588" w:type="dxa"/>
            <w:vAlign w:val="top"/>
          </w:tcPr>
          <w:p w14:paraId="0E998FC5">
            <w:pPr>
              <w:pStyle w:val="6"/>
            </w:pPr>
          </w:p>
        </w:tc>
        <w:tc>
          <w:tcPr>
            <w:tcW w:w="3607" w:type="dxa"/>
            <w:vAlign w:val="top"/>
          </w:tcPr>
          <w:p w14:paraId="468265F6">
            <w:pPr>
              <w:pStyle w:val="6"/>
            </w:pPr>
          </w:p>
        </w:tc>
        <w:tc>
          <w:tcPr>
            <w:tcW w:w="3068" w:type="dxa"/>
            <w:vAlign w:val="top"/>
          </w:tcPr>
          <w:p w14:paraId="28116DF0">
            <w:pPr>
              <w:pStyle w:val="6"/>
            </w:pPr>
          </w:p>
        </w:tc>
        <w:tc>
          <w:tcPr>
            <w:tcW w:w="1739" w:type="dxa"/>
            <w:vAlign w:val="top"/>
          </w:tcPr>
          <w:p w14:paraId="4B25F16A">
            <w:pPr>
              <w:pStyle w:val="6"/>
            </w:pPr>
          </w:p>
        </w:tc>
        <w:tc>
          <w:tcPr>
            <w:tcW w:w="2213" w:type="dxa"/>
            <w:vAlign w:val="top"/>
          </w:tcPr>
          <w:p w14:paraId="47B448A0">
            <w:pPr>
              <w:pStyle w:val="6"/>
            </w:pPr>
          </w:p>
        </w:tc>
      </w:tr>
      <w:tr w14:paraId="705FE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 w:type="dxa"/>
            <w:vAlign w:val="top"/>
          </w:tcPr>
          <w:p w14:paraId="11F8D558">
            <w:pPr>
              <w:pStyle w:val="6"/>
            </w:pPr>
          </w:p>
        </w:tc>
        <w:tc>
          <w:tcPr>
            <w:tcW w:w="2588" w:type="dxa"/>
            <w:vAlign w:val="top"/>
          </w:tcPr>
          <w:p w14:paraId="5EC1A30C">
            <w:pPr>
              <w:pStyle w:val="6"/>
            </w:pPr>
          </w:p>
        </w:tc>
        <w:tc>
          <w:tcPr>
            <w:tcW w:w="3607" w:type="dxa"/>
            <w:vAlign w:val="top"/>
          </w:tcPr>
          <w:p w14:paraId="10AA6951">
            <w:pPr>
              <w:pStyle w:val="6"/>
            </w:pPr>
          </w:p>
        </w:tc>
        <w:tc>
          <w:tcPr>
            <w:tcW w:w="3068" w:type="dxa"/>
            <w:vAlign w:val="top"/>
          </w:tcPr>
          <w:p w14:paraId="05578221">
            <w:pPr>
              <w:pStyle w:val="6"/>
            </w:pPr>
          </w:p>
        </w:tc>
        <w:tc>
          <w:tcPr>
            <w:tcW w:w="1739" w:type="dxa"/>
            <w:vAlign w:val="top"/>
          </w:tcPr>
          <w:p w14:paraId="1B266247">
            <w:pPr>
              <w:pStyle w:val="6"/>
            </w:pPr>
          </w:p>
        </w:tc>
        <w:tc>
          <w:tcPr>
            <w:tcW w:w="2213" w:type="dxa"/>
            <w:vAlign w:val="top"/>
          </w:tcPr>
          <w:p w14:paraId="672E19F9">
            <w:pPr>
              <w:pStyle w:val="6"/>
            </w:pPr>
          </w:p>
        </w:tc>
      </w:tr>
      <w:tr w14:paraId="400E1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934" w:type="dxa"/>
            <w:vAlign w:val="top"/>
          </w:tcPr>
          <w:p w14:paraId="7A915D2C">
            <w:pPr>
              <w:pStyle w:val="6"/>
            </w:pPr>
          </w:p>
        </w:tc>
        <w:tc>
          <w:tcPr>
            <w:tcW w:w="2588" w:type="dxa"/>
            <w:vAlign w:val="top"/>
          </w:tcPr>
          <w:p w14:paraId="6E4246FB">
            <w:pPr>
              <w:pStyle w:val="6"/>
            </w:pPr>
          </w:p>
        </w:tc>
        <w:tc>
          <w:tcPr>
            <w:tcW w:w="3607" w:type="dxa"/>
            <w:vAlign w:val="top"/>
          </w:tcPr>
          <w:p w14:paraId="624A50A4">
            <w:pPr>
              <w:pStyle w:val="6"/>
            </w:pPr>
          </w:p>
        </w:tc>
        <w:tc>
          <w:tcPr>
            <w:tcW w:w="3068" w:type="dxa"/>
            <w:vAlign w:val="top"/>
          </w:tcPr>
          <w:p w14:paraId="01C0904B">
            <w:pPr>
              <w:pStyle w:val="6"/>
            </w:pPr>
          </w:p>
        </w:tc>
        <w:tc>
          <w:tcPr>
            <w:tcW w:w="1739" w:type="dxa"/>
            <w:vAlign w:val="top"/>
          </w:tcPr>
          <w:p w14:paraId="2D2D2673">
            <w:pPr>
              <w:pStyle w:val="6"/>
            </w:pPr>
          </w:p>
        </w:tc>
        <w:tc>
          <w:tcPr>
            <w:tcW w:w="2213" w:type="dxa"/>
            <w:vAlign w:val="top"/>
          </w:tcPr>
          <w:p w14:paraId="5A742EE8">
            <w:pPr>
              <w:pStyle w:val="6"/>
            </w:pPr>
          </w:p>
        </w:tc>
      </w:tr>
    </w:tbl>
    <w:p w14:paraId="255FCBA4">
      <w:pPr>
        <w:rPr>
          <w:rFonts w:ascii="Arial"/>
          <w:sz w:val="21"/>
        </w:rPr>
      </w:pPr>
    </w:p>
    <w:p w14:paraId="27E32D77">
      <w:pPr>
        <w:rPr>
          <w:rFonts w:ascii="Arial" w:hAnsi="Arial" w:eastAsia="Arial" w:cs="Arial"/>
          <w:sz w:val="21"/>
          <w:szCs w:val="21"/>
        </w:rPr>
        <w:sectPr>
          <w:footerReference r:id="rId8" w:type="default"/>
          <w:pgSz w:w="16840" w:h="11910"/>
          <w:pgMar w:top="1012" w:right="1295" w:bottom="1249" w:left="1384" w:header="0" w:footer="870" w:gutter="0"/>
          <w:cols w:space="720" w:num="1"/>
        </w:sectPr>
      </w:pPr>
    </w:p>
    <w:p w14:paraId="241213C9">
      <w:pPr>
        <w:spacing w:line="458" w:lineRule="auto"/>
        <w:rPr>
          <w:rFonts w:ascii="Arial"/>
          <w:sz w:val="21"/>
        </w:rPr>
      </w:pPr>
    </w:p>
    <w:p w14:paraId="57D6C073">
      <w:pPr>
        <w:spacing w:before="104" w:line="224" w:lineRule="auto"/>
        <w:ind w:left="124"/>
        <w:rPr>
          <w:rFonts w:ascii="黑体" w:hAnsi="黑体" w:eastAsia="黑体" w:cs="黑体"/>
          <w:sz w:val="32"/>
          <w:szCs w:val="32"/>
        </w:rPr>
      </w:pPr>
      <w:r>
        <w:rPr>
          <w:rFonts w:ascii="黑体" w:hAnsi="黑体" w:eastAsia="黑体" w:cs="黑体"/>
          <w:spacing w:val="36"/>
          <w:sz w:val="32"/>
          <w:szCs w:val="32"/>
        </w:rPr>
        <w:t>附件2</w:t>
      </w:r>
    </w:p>
    <w:p w14:paraId="56E2B9E8">
      <w:pPr>
        <w:pStyle w:val="2"/>
        <w:spacing w:before="162" w:line="219" w:lineRule="auto"/>
        <w:ind w:left="3290"/>
        <w:rPr>
          <w:sz w:val="39"/>
          <w:szCs w:val="39"/>
        </w:rPr>
      </w:pPr>
      <w:r>
        <w:rPr>
          <w:b/>
          <w:bCs/>
          <w:spacing w:val="-27"/>
          <w:sz w:val="39"/>
          <w:szCs w:val="39"/>
        </w:rPr>
        <w:t>2026年安徽省高校科技成果路演项目征集报名表</w:t>
      </w:r>
    </w:p>
    <w:p w14:paraId="13294DCF">
      <w:pPr>
        <w:spacing w:line="54" w:lineRule="exact"/>
      </w:pPr>
    </w:p>
    <w:tbl>
      <w:tblPr>
        <w:tblStyle w:val="5"/>
        <w:tblW w:w="141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928"/>
        <w:gridCol w:w="4797"/>
        <w:gridCol w:w="2069"/>
        <w:gridCol w:w="2278"/>
        <w:gridCol w:w="2334"/>
      </w:tblGrid>
      <w:tr w14:paraId="0CCB8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764" w:type="dxa"/>
            <w:vAlign w:val="top"/>
          </w:tcPr>
          <w:p w14:paraId="7313ECDB">
            <w:pPr>
              <w:spacing w:before="178" w:line="221" w:lineRule="auto"/>
              <w:ind w:left="94"/>
              <w:rPr>
                <w:rFonts w:ascii="宋体" w:hAnsi="宋体" w:eastAsia="宋体" w:cs="宋体"/>
                <w:sz w:val="28"/>
                <w:szCs w:val="28"/>
              </w:rPr>
            </w:pPr>
            <w:r>
              <w:rPr>
                <w:rFonts w:ascii="宋体" w:hAnsi="宋体" w:eastAsia="宋体" w:cs="宋体"/>
                <w:spacing w:val="8"/>
                <w:sz w:val="28"/>
                <w:szCs w:val="28"/>
              </w:rPr>
              <w:t>序号</w:t>
            </w:r>
          </w:p>
        </w:tc>
        <w:tc>
          <w:tcPr>
            <w:tcW w:w="1928" w:type="dxa"/>
            <w:vAlign w:val="top"/>
          </w:tcPr>
          <w:p w14:paraId="6D8E0CC2">
            <w:pPr>
              <w:spacing w:before="176" w:line="219" w:lineRule="auto"/>
              <w:ind w:left="381"/>
              <w:rPr>
                <w:rFonts w:ascii="宋体" w:hAnsi="宋体" w:eastAsia="宋体" w:cs="宋体"/>
                <w:sz w:val="28"/>
                <w:szCs w:val="28"/>
              </w:rPr>
            </w:pPr>
            <w:r>
              <w:rPr>
                <w:rFonts w:ascii="宋体" w:hAnsi="宋体" w:eastAsia="宋体" w:cs="宋体"/>
                <w:spacing w:val="3"/>
                <w:sz w:val="28"/>
                <w:szCs w:val="28"/>
              </w:rPr>
              <w:t>高校名称</w:t>
            </w:r>
          </w:p>
        </w:tc>
        <w:tc>
          <w:tcPr>
            <w:tcW w:w="4797" w:type="dxa"/>
            <w:vAlign w:val="top"/>
          </w:tcPr>
          <w:p w14:paraId="2FC26806">
            <w:pPr>
              <w:spacing w:before="176" w:line="219" w:lineRule="auto"/>
              <w:ind w:left="1572"/>
              <w:rPr>
                <w:rFonts w:ascii="宋体" w:hAnsi="宋体" w:eastAsia="宋体" w:cs="宋体"/>
                <w:sz w:val="28"/>
                <w:szCs w:val="28"/>
              </w:rPr>
            </w:pPr>
            <w:r>
              <w:rPr>
                <w:rFonts w:ascii="宋体" w:hAnsi="宋体" w:eastAsia="宋体" w:cs="宋体"/>
                <w:spacing w:val="2"/>
                <w:sz w:val="28"/>
                <w:szCs w:val="28"/>
              </w:rPr>
              <w:t>路演项目名称</w:t>
            </w:r>
          </w:p>
        </w:tc>
        <w:tc>
          <w:tcPr>
            <w:tcW w:w="2069" w:type="dxa"/>
            <w:vAlign w:val="top"/>
          </w:tcPr>
          <w:p w14:paraId="102B93A4">
            <w:pPr>
              <w:spacing w:before="180" w:line="221" w:lineRule="auto"/>
              <w:ind w:left="615"/>
              <w:rPr>
                <w:rFonts w:ascii="宋体" w:hAnsi="宋体" w:eastAsia="宋体" w:cs="宋体"/>
                <w:sz w:val="28"/>
                <w:szCs w:val="28"/>
              </w:rPr>
            </w:pPr>
            <w:r>
              <w:rPr>
                <w:rFonts w:ascii="宋体" w:hAnsi="宋体" w:eastAsia="宋体" w:cs="宋体"/>
                <w:spacing w:val="4"/>
                <w:sz w:val="28"/>
                <w:szCs w:val="28"/>
              </w:rPr>
              <w:t>联系人</w:t>
            </w:r>
          </w:p>
        </w:tc>
        <w:tc>
          <w:tcPr>
            <w:tcW w:w="2278" w:type="dxa"/>
            <w:vAlign w:val="top"/>
          </w:tcPr>
          <w:p w14:paraId="4563AA19">
            <w:pPr>
              <w:spacing w:before="178" w:line="221" w:lineRule="auto"/>
              <w:ind w:left="596"/>
              <w:rPr>
                <w:rFonts w:ascii="宋体" w:hAnsi="宋体" w:eastAsia="宋体" w:cs="宋体"/>
                <w:sz w:val="28"/>
                <w:szCs w:val="28"/>
              </w:rPr>
            </w:pPr>
            <w:r>
              <w:rPr>
                <w:rFonts w:ascii="宋体" w:hAnsi="宋体" w:eastAsia="宋体" w:cs="宋体"/>
                <w:spacing w:val="2"/>
                <w:sz w:val="28"/>
                <w:szCs w:val="28"/>
              </w:rPr>
              <w:t>联系方式</w:t>
            </w:r>
          </w:p>
        </w:tc>
        <w:tc>
          <w:tcPr>
            <w:tcW w:w="2334" w:type="dxa"/>
            <w:vAlign w:val="top"/>
          </w:tcPr>
          <w:p w14:paraId="20E94A41">
            <w:pPr>
              <w:spacing w:before="177" w:line="220" w:lineRule="auto"/>
              <w:ind w:left="629"/>
              <w:rPr>
                <w:rFonts w:ascii="宋体" w:hAnsi="宋体" w:eastAsia="宋体" w:cs="宋体"/>
                <w:sz w:val="28"/>
                <w:szCs w:val="28"/>
              </w:rPr>
            </w:pPr>
            <w:r>
              <w:rPr>
                <w:rFonts w:ascii="宋体" w:hAnsi="宋体" w:eastAsia="宋体" w:cs="宋体"/>
                <w:spacing w:val="2"/>
                <w:sz w:val="28"/>
                <w:szCs w:val="28"/>
              </w:rPr>
              <w:t>所属领域</w:t>
            </w:r>
          </w:p>
        </w:tc>
      </w:tr>
      <w:tr w14:paraId="068CA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64" w:type="dxa"/>
            <w:vAlign w:val="top"/>
          </w:tcPr>
          <w:p w14:paraId="6A95C6B4">
            <w:pPr>
              <w:spacing w:before="190" w:line="241" w:lineRule="auto"/>
              <w:ind w:left="304"/>
              <w:rPr>
                <w:rFonts w:ascii="宋体" w:hAnsi="宋体" w:eastAsia="宋体" w:cs="宋体"/>
                <w:sz w:val="28"/>
                <w:szCs w:val="28"/>
              </w:rPr>
            </w:pPr>
            <w:r>
              <w:rPr>
                <w:rFonts w:ascii="宋体" w:hAnsi="宋体" w:eastAsia="宋体" w:cs="宋体"/>
                <w:sz w:val="28"/>
                <w:szCs w:val="28"/>
              </w:rPr>
              <w:t>1</w:t>
            </w:r>
          </w:p>
        </w:tc>
        <w:tc>
          <w:tcPr>
            <w:tcW w:w="1928" w:type="dxa"/>
            <w:vAlign w:val="top"/>
          </w:tcPr>
          <w:p w14:paraId="114E4C05">
            <w:pPr>
              <w:pStyle w:val="6"/>
            </w:pPr>
          </w:p>
        </w:tc>
        <w:tc>
          <w:tcPr>
            <w:tcW w:w="4797" w:type="dxa"/>
            <w:vAlign w:val="top"/>
          </w:tcPr>
          <w:p w14:paraId="0356CDBE">
            <w:pPr>
              <w:pStyle w:val="6"/>
            </w:pPr>
          </w:p>
        </w:tc>
        <w:tc>
          <w:tcPr>
            <w:tcW w:w="2069" w:type="dxa"/>
            <w:vAlign w:val="top"/>
          </w:tcPr>
          <w:p w14:paraId="2E06C39B">
            <w:pPr>
              <w:pStyle w:val="6"/>
            </w:pPr>
          </w:p>
        </w:tc>
        <w:tc>
          <w:tcPr>
            <w:tcW w:w="2278" w:type="dxa"/>
            <w:vAlign w:val="top"/>
          </w:tcPr>
          <w:p w14:paraId="5CD4E9EE">
            <w:pPr>
              <w:pStyle w:val="6"/>
            </w:pPr>
          </w:p>
        </w:tc>
        <w:tc>
          <w:tcPr>
            <w:tcW w:w="2334" w:type="dxa"/>
            <w:vAlign w:val="top"/>
          </w:tcPr>
          <w:p w14:paraId="21B9EE4C">
            <w:pPr>
              <w:pStyle w:val="6"/>
            </w:pPr>
          </w:p>
        </w:tc>
      </w:tr>
      <w:tr w14:paraId="73D2B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64" w:type="dxa"/>
            <w:vAlign w:val="top"/>
          </w:tcPr>
          <w:p w14:paraId="3FDF36F0">
            <w:pPr>
              <w:spacing w:before="191" w:line="241" w:lineRule="auto"/>
              <w:ind w:left="304"/>
              <w:rPr>
                <w:rFonts w:ascii="宋体" w:hAnsi="宋体" w:eastAsia="宋体" w:cs="宋体"/>
                <w:sz w:val="28"/>
                <w:szCs w:val="28"/>
              </w:rPr>
            </w:pPr>
            <w:r>
              <w:rPr>
                <w:rFonts w:ascii="宋体" w:hAnsi="宋体" w:eastAsia="宋体" w:cs="宋体"/>
                <w:sz w:val="28"/>
                <w:szCs w:val="28"/>
              </w:rPr>
              <w:t>2</w:t>
            </w:r>
          </w:p>
        </w:tc>
        <w:tc>
          <w:tcPr>
            <w:tcW w:w="1928" w:type="dxa"/>
            <w:vAlign w:val="top"/>
          </w:tcPr>
          <w:p w14:paraId="6BCF3CE0">
            <w:pPr>
              <w:pStyle w:val="6"/>
            </w:pPr>
          </w:p>
        </w:tc>
        <w:tc>
          <w:tcPr>
            <w:tcW w:w="4797" w:type="dxa"/>
            <w:vAlign w:val="top"/>
          </w:tcPr>
          <w:p w14:paraId="0762E9CE">
            <w:pPr>
              <w:pStyle w:val="6"/>
            </w:pPr>
          </w:p>
        </w:tc>
        <w:tc>
          <w:tcPr>
            <w:tcW w:w="2069" w:type="dxa"/>
            <w:vAlign w:val="top"/>
          </w:tcPr>
          <w:p w14:paraId="4B939E14">
            <w:pPr>
              <w:pStyle w:val="6"/>
            </w:pPr>
          </w:p>
        </w:tc>
        <w:tc>
          <w:tcPr>
            <w:tcW w:w="2278" w:type="dxa"/>
            <w:vAlign w:val="top"/>
          </w:tcPr>
          <w:p w14:paraId="4F0FC7B8">
            <w:pPr>
              <w:pStyle w:val="6"/>
            </w:pPr>
          </w:p>
        </w:tc>
        <w:tc>
          <w:tcPr>
            <w:tcW w:w="2334" w:type="dxa"/>
            <w:vAlign w:val="top"/>
          </w:tcPr>
          <w:p w14:paraId="1B9D6D15">
            <w:pPr>
              <w:pStyle w:val="6"/>
            </w:pPr>
          </w:p>
        </w:tc>
      </w:tr>
      <w:tr w14:paraId="5BF46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64" w:type="dxa"/>
            <w:vAlign w:val="top"/>
          </w:tcPr>
          <w:p w14:paraId="1453043E">
            <w:pPr>
              <w:spacing w:before="201"/>
              <w:ind w:left="304"/>
              <w:rPr>
                <w:rFonts w:ascii="宋体" w:hAnsi="宋体" w:eastAsia="宋体" w:cs="宋体"/>
                <w:sz w:val="28"/>
                <w:szCs w:val="28"/>
              </w:rPr>
            </w:pPr>
            <w:r>
              <w:rPr>
                <w:rFonts w:ascii="宋体" w:hAnsi="宋体" w:eastAsia="宋体" w:cs="宋体"/>
                <w:sz w:val="28"/>
                <w:szCs w:val="28"/>
              </w:rPr>
              <w:t>3</w:t>
            </w:r>
          </w:p>
        </w:tc>
        <w:tc>
          <w:tcPr>
            <w:tcW w:w="1928" w:type="dxa"/>
            <w:vAlign w:val="top"/>
          </w:tcPr>
          <w:p w14:paraId="2406B3CA">
            <w:pPr>
              <w:pStyle w:val="6"/>
            </w:pPr>
          </w:p>
        </w:tc>
        <w:tc>
          <w:tcPr>
            <w:tcW w:w="4797" w:type="dxa"/>
            <w:vAlign w:val="top"/>
          </w:tcPr>
          <w:p w14:paraId="126297BA">
            <w:pPr>
              <w:pStyle w:val="6"/>
            </w:pPr>
          </w:p>
        </w:tc>
        <w:tc>
          <w:tcPr>
            <w:tcW w:w="2069" w:type="dxa"/>
            <w:vAlign w:val="top"/>
          </w:tcPr>
          <w:p w14:paraId="65003396">
            <w:pPr>
              <w:pStyle w:val="6"/>
            </w:pPr>
          </w:p>
        </w:tc>
        <w:tc>
          <w:tcPr>
            <w:tcW w:w="2278" w:type="dxa"/>
            <w:vAlign w:val="top"/>
          </w:tcPr>
          <w:p w14:paraId="034229FC">
            <w:pPr>
              <w:pStyle w:val="6"/>
            </w:pPr>
          </w:p>
        </w:tc>
        <w:tc>
          <w:tcPr>
            <w:tcW w:w="2334" w:type="dxa"/>
            <w:vAlign w:val="top"/>
          </w:tcPr>
          <w:p w14:paraId="27B5A982">
            <w:pPr>
              <w:pStyle w:val="6"/>
            </w:pPr>
          </w:p>
        </w:tc>
      </w:tr>
      <w:tr w14:paraId="4B317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64" w:type="dxa"/>
            <w:vAlign w:val="top"/>
          </w:tcPr>
          <w:p w14:paraId="57BA8B87">
            <w:pPr>
              <w:spacing w:before="203" w:line="241" w:lineRule="auto"/>
              <w:ind w:left="304"/>
              <w:rPr>
                <w:rFonts w:ascii="宋体" w:hAnsi="宋体" w:eastAsia="宋体" w:cs="宋体"/>
                <w:sz w:val="28"/>
                <w:szCs w:val="28"/>
              </w:rPr>
            </w:pPr>
            <w:r>
              <w:rPr>
                <w:rFonts w:ascii="宋体" w:hAnsi="宋体" w:eastAsia="宋体" w:cs="宋体"/>
                <w:sz w:val="28"/>
                <w:szCs w:val="28"/>
              </w:rPr>
              <w:t>4</w:t>
            </w:r>
          </w:p>
        </w:tc>
        <w:tc>
          <w:tcPr>
            <w:tcW w:w="1928" w:type="dxa"/>
            <w:vAlign w:val="top"/>
          </w:tcPr>
          <w:p w14:paraId="7DA119AF">
            <w:pPr>
              <w:pStyle w:val="6"/>
            </w:pPr>
          </w:p>
        </w:tc>
        <w:tc>
          <w:tcPr>
            <w:tcW w:w="4797" w:type="dxa"/>
            <w:vAlign w:val="top"/>
          </w:tcPr>
          <w:p w14:paraId="766A7891">
            <w:pPr>
              <w:pStyle w:val="6"/>
            </w:pPr>
          </w:p>
        </w:tc>
        <w:tc>
          <w:tcPr>
            <w:tcW w:w="2069" w:type="dxa"/>
            <w:vAlign w:val="top"/>
          </w:tcPr>
          <w:p w14:paraId="18690CAD">
            <w:pPr>
              <w:pStyle w:val="6"/>
            </w:pPr>
          </w:p>
        </w:tc>
        <w:tc>
          <w:tcPr>
            <w:tcW w:w="2278" w:type="dxa"/>
            <w:vAlign w:val="top"/>
          </w:tcPr>
          <w:p w14:paraId="7AFBC4B9">
            <w:pPr>
              <w:pStyle w:val="6"/>
            </w:pPr>
          </w:p>
        </w:tc>
        <w:tc>
          <w:tcPr>
            <w:tcW w:w="2334" w:type="dxa"/>
            <w:vAlign w:val="top"/>
          </w:tcPr>
          <w:p w14:paraId="47465966">
            <w:pPr>
              <w:pStyle w:val="6"/>
            </w:pPr>
          </w:p>
        </w:tc>
      </w:tr>
      <w:tr w14:paraId="5C6DB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64" w:type="dxa"/>
            <w:vAlign w:val="top"/>
          </w:tcPr>
          <w:p w14:paraId="182AA983">
            <w:pPr>
              <w:spacing w:before="193"/>
              <w:ind w:left="304"/>
              <w:rPr>
                <w:rFonts w:ascii="宋体" w:hAnsi="宋体" w:eastAsia="宋体" w:cs="宋体"/>
                <w:sz w:val="28"/>
                <w:szCs w:val="28"/>
              </w:rPr>
            </w:pPr>
            <w:r>
              <w:rPr>
                <w:rFonts w:ascii="宋体" w:hAnsi="宋体" w:eastAsia="宋体" w:cs="宋体"/>
                <w:sz w:val="28"/>
                <w:szCs w:val="28"/>
              </w:rPr>
              <w:t>5</w:t>
            </w:r>
          </w:p>
        </w:tc>
        <w:tc>
          <w:tcPr>
            <w:tcW w:w="1928" w:type="dxa"/>
            <w:vAlign w:val="top"/>
          </w:tcPr>
          <w:p w14:paraId="59B11676">
            <w:pPr>
              <w:pStyle w:val="6"/>
            </w:pPr>
          </w:p>
        </w:tc>
        <w:tc>
          <w:tcPr>
            <w:tcW w:w="4797" w:type="dxa"/>
            <w:vAlign w:val="top"/>
          </w:tcPr>
          <w:p w14:paraId="75132613">
            <w:pPr>
              <w:pStyle w:val="6"/>
            </w:pPr>
          </w:p>
        </w:tc>
        <w:tc>
          <w:tcPr>
            <w:tcW w:w="2069" w:type="dxa"/>
            <w:vAlign w:val="top"/>
          </w:tcPr>
          <w:p w14:paraId="12A8DF71">
            <w:pPr>
              <w:pStyle w:val="6"/>
            </w:pPr>
          </w:p>
        </w:tc>
        <w:tc>
          <w:tcPr>
            <w:tcW w:w="2278" w:type="dxa"/>
            <w:vAlign w:val="top"/>
          </w:tcPr>
          <w:p w14:paraId="73264D26">
            <w:pPr>
              <w:pStyle w:val="6"/>
            </w:pPr>
          </w:p>
        </w:tc>
        <w:tc>
          <w:tcPr>
            <w:tcW w:w="2334" w:type="dxa"/>
            <w:vAlign w:val="top"/>
          </w:tcPr>
          <w:p w14:paraId="262DC685">
            <w:pPr>
              <w:pStyle w:val="6"/>
            </w:pPr>
          </w:p>
        </w:tc>
      </w:tr>
      <w:tr w14:paraId="61D0E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764" w:type="dxa"/>
            <w:vAlign w:val="top"/>
          </w:tcPr>
          <w:p w14:paraId="7559832C">
            <w:pPr>
              <w:spacing w:before="204"/>
              <w:ind w:left="304"/>
              <w:rPr>
                <w:rFonts w:ascii="宋体" w:hAnsi="宋体" w:eastAsia="宋体" w:cs="宋体"/>
                <w:sz w:val="28"/>
                <w:szCs w:val="28"/>
              </w:rPr>
            </w:pPr>
            <w:r>
              <w:rPr>
                <w:rFonts w:ascii="宋体" w:hAnsi="宋体" w:eastAsia="宋体" w:cs="宋体"/>
                <w:sz w:val="28"/>
                <w:szCs w:val="28"/>
              </w:rPr>
              <w:t>6</w:t>
            </w:r>
          </w:p>
        </w:tc>
        <w:tc>
          <w:tcPr>
            <w:tcW w:w="1928" w:type="dxa"/>
            <w:vAlign w:val="top"/>
          </w:tcPr>
          <w:p w14:paraId="2271016D">
            <w:pPr>
              <w:pStyle w:val="6"/>
            </w:pPr>
          </w:p>
        </w:tc>
        <w:tc>
          <w:tcPr>
            <w:tcW w:w="4797" w:type="dxa"/>
            <w:vAlign w:val="top"/>
          </w:tcPr>
          <w:p w14:paraId="4D2930EF">
            <w:pPr>
              <w:pStyle w:val="6"/>
            </w:pPr>
          </w:p>
        </w:tc>
        <w:tc>
          <w:tcPr>
            <w:tcW w:w="2069" w:type="dxa"/>
            <w:vAlign w:val="top"/>
          </w:tcPr>
          <w:p w14:paraId="4D3485F6">
            <w:pPr>
              <w:pStyle w:val="6"/>
            </w:pPr>
          </w:p>
        </w:tc>
        <w:tc>
          <w:tcPr>
            <w:tcW w:w="2278" w:type="dxa"/>
            <w:vAlign w:val="top"/>
          </w:tcPr>
          <w:p w14:paraId="1DBED449">
            <w:pPr>
              <w:pStyle w:val="6"/>
            </w:pPr>
          </w:p>
        </w:tc>
        <w:tc>
          <w:tcPr>
            <w:tcW w:w="2334" w:type="dxa"/>
            <w:vAlign w:val="top"/>
          </w:tcPr>
          <w:p w14:paraId="70E5D7E8">
            <w:pPr>
              <w:pStyle w:val="6"/>
            </w:pPr>
          </w:p>
        </w:tc>
      </w:tr>
      <w:tr w14:paraId="4F4F4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764" w:type="dxa"/>
            <w:vAlign w:val="top"/>
          </w:tcPr>
          <w:p w14:paraId="59183507">
            <w:pPr>
              <w:spacing w:before="196"/>
              <w:ind w:left="304"/>
              <w:rPr>
                <w:rFonts w:ascii="宋体" w:hAnsi="宋体" w:eastAsia="宋体" w:cs="宋体"/>
                <w:sz w:val="28"/>
                <w:szCs w:val="28"/>
              </w:rPr>
            </w:pPr>
            <w:r>
              <w:rPr>
                <w:rFonts w:ascii="宋体" w:hAnsi="宋体" w:eastAsia="宋体" w:cs="宋体"/>
                <w:sz w:val="28"/>
                <w:szCs w:val="28"/>
              </w:rPr>
              <w:t>7</w:t>
            </w:r>
          </w:p>
        </w:tc>
        <w:tc>
          <w:tcPr>
            <w:tcW w:w="1928" w:type="dxa"/>
            <w:vAlign w:val="top"/>
          </w:tcPr>
          <w:p w14:paraId="3BFACA45">
            <w:pPr>
              <w:pStyle w:val="6"/>
            </w:pPr>
          </w:p>
        </w:tc>
        <w:tc>
          <w:tcPr>
            <w:tcW w:w="4797" w:type="dxa"/>
            <w:vAlign w:val="top"/>
          </w:tcPr>
          <w:p w14:paraId="62FF5451">
            <w:pPr>
              <w:pStyle w:val="6"/>
            </w:pPr>
          </w:p>
        </w:tc>
        <w:tc>
          <w:tcPr>
            <w:tcW w:w="2069" w:type="dxa"/>
            <w:vAlign w:val="top"/>
          </w:tcPr>
          <w:p w14:paraId="73A01835">
            <w:pPr>
              <w:pStyle w:val="6"/>
            </w:pPr>
          </w:p>
        </w:tc>
        <w:tc>
          <w:tcPr>
            <w:tcW w:w="2278" w:type="dxa"/>
            <w:vAlign w:val="top"/>
          </w:tcPr>
          <w:p w14:paraId="7D90008C">
            <w:pPr>
              <w:pStyle w:val="6"/>
            </w:pPr>
          </w:p>
        </w:tc>
        <w:tc>
          <w:tcPr>
            <w:tcW w:w="2334" w:type="dxa"/>
            <w:vAlign w:val="top"/>
          </w:tcPr>
          <w:p w14:paraId="44E5750A">
            <w:pPr>
              <w:pStyle w:val="6"/>
            </w:pPr>
          </w:p>
        </w:tc>
      </w:tr>
      <w:tr w14:paraId="2264E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764" w:type="dxa"/>
            <w:vAlign w:val="top"/>
          </w:tcPr>
          <w:p w14:paraId="446BC005">
            <w:pPr>
              <w:spacing w:before="207"/>
              <w:ind w:left="304"/>
              <w:rPr>
                <w:rFonts w:ascii="宋体" w:hAnsi="宋体" w:eastAsia="宋体" w:cs="宋体"/>
                <w:sz w:val="28"/>
                <w:szCs w:val="28"/>
              </w:rPr>
            </w:pPr>
            <w:r>
              <w:rPr>
                <w:rFonts w:ascii="宋体" w:hAnsi="宋体" w:eastAsia="宋体" w:cs="宋体"/>
                <w:sz w:val="28"/>
                <w:szCs w:val="28"/>
              </w:rPr>
              <w:t>8</w:t>
            </w:r>
          </w:p>
        </w:tc>
        <w:tc>
          <w:tcPr>
            <w:tcW w:w="1928" w:type="dxa"/>
            <w:vAlign w:val="top"/>
          </w:tcPr>
          <w:p w14:paraId="3B351898">
            <w:pPr>
              <w:pStyle w:val="6"/>
            </w:pPr>
          </w:p>
        </w:tc>
        <w:tc>
          <w:tcPr>
            <w:tcW w:w="4797" w:type="dxa"/>
            <w:vAlign w:val="top"/>
          </w:tcPr>
          <w:p w14:paraId="4118C1D5">
            <w:pPr>
              <w:pStyle w:val="6"/>
            </w:pPr>
          </w:p>
        </w:tc>
        <w:tc>
          <w:tcPr>
            <w:tcW w:w="2069" w:type="dxa"/>
            <w:vAlign w:val="top"/>
          </w:tcPr>
          <w:p w14:paraId="57ECABAE">
            <w:pPr>
              <w:pStyle w:val="6"/>
            </w:pPr>
          </w:p>
        </w:tc>
        <w:tc>
          <w:tcPr>
            <w:tcW w:w="2278" w:type="dxa"/>
            <w:vAlign w:val="top"/>
          </w:tcPr>
          <w:p w14:paraId="6495705B">
            <w:pPr>
              <w:pStyle w:val="6"/>
            </w:pPr>
          </w:p>
        </w:tc>
        <w:tc>
          <w:tcPr>
            <w:tcW w:w="2334" w:type="dxa"/>
            <w:vAlign w:val="top"/>
          </w:tcPr>
          <w:p w14:paraId="297262E9">
            <w:pPr>
              <w:pStyle w:val="6"/>
            </w:pPr>
          </w:p>
        </w:tc>
      </w:tr>
    </w:tbl>
    <w:p w14:paraId="02B93C95">
      <w:pPr>
        <w:rPr>
          <w:rFonts w:ascii="Arial"/>
          <w:sz w:val="21"/>
        </w:rPr>
      </w:pPr>
    </w:p>
    <w:p w14:paraId="18BC8AD0">
      <w:pPr>
        <w:rPr>
          <w:rFonts w:ascii="Arial" w:hAnsi="Arial" w:eastAsia="Arial" w:cs="Arial"/>
          <w:sz w:val="21"/>
          <w:szCs w:val="21"/>
        </w:rPr>
        <w:sectPr>
          <w:footerReference r:id="rId9" w:type="default"/>
          <w:pgSz w:w="16840" w:h="11910"/>
          <w:pgMar w:top="1012" w:right="1314" w:bottom="1376" w:left="1345" w:header="0" w:footer="1064" w:gutter="0"/>
          <w:cols w:space="720" w:num="1"/>
        </w:sectPr>
      </w:pPr>
    </w:p>
    <w:p w14:paraId="0F6026FE">
      <w:pPr>
        <w:spacing w:line="358" w:lineRule="auto"/>
        <w:rPr>
          <w:rFonts w:ascii="Arial"/>
          <w:sz w:val="21"/>
        </w:rPr>
      </w:pPr>
    </w:p>
    <w:p w14:paraId="5D7CD191">
      <w:pPr>
        <w:spacing w:line="359" w:lineRule="auto"/>
        <w:rPr>
          <w:rFonts w:ascii="Arial"/>
          <w:sz w:val="21"/>
        </w:rPr>
      </w:pPr>
    </w:p>
    <w:p w14:paraId="70C5AAFA">
      <w:pPr>
        <w:spacing w:before="104" w:line="224" w:lineRule="auto"/>
        <w:rPr>
          <w:rFonts w:ascii="黑体" w:hAnsi="黑体" w:eastAsia="黑体" w:cs="黑体"/>
          <w:sz w:val="32"/>
          <w:szCs w:val="32"/>
        </w:rPr>
      </w:pPr>
      <w:r>
        <w:rPr>
          <w:rFonts w:ascii="黑体" w:hAnsi="黑体" w:eastAsia="黑体" w:cs="黑体"/>
          <w:spacing w:val="18"/>
          <w:sz w:val="32"/>
          <w:szCs w:val="32"/>
        </w:rPr>
        <w:t>附件3</w:t>
      </w:r>
    </w:p>
    <w:p w14:paraId="6597555A">
      <w:pPr>
        <w:spacing w:line="281" w:lineRule="auto"/>
        <w:rPr>
          <w:rFonts w:ascii="Arial"/>
          <w:sz w:val="21"/>
        </w:rPr>
      </w:pPr>
    </w:p>
    <w:p w14:paraId="277BAD1C">
      <w:pPr>
        <w:spacing w:line="281" w:lineRule="auto"/>
        <w:rPr>
          <w:rFonts w:ascii="Arial"/>
          <w:sz w:val="21"/>
        </w:rPr>
      </w:pPr>
    </w:p>
    <w:p w14:paraId="4E9F9B26">
      <w:pPr>
        <w:pStyle w:val="2"/>
        <w:spacing w:before="126" w:line="219" w:lineRule="auto"/>
        <w:ind w:left="1855"/>
        <w:rPr>
          <w:sz w:val="39"/>
          <w:szCs w:val="39"/>
        </w:rPr>
      </w:pPr>
      <w:r>
        <w:rPr>
          <w:b/>
          <w:bCs/>
          <w:spacing w:val="-12"/>
          <w:sz w:val="39"/>
          <w:szCs w:val="39"/>
        </w:rPr>
        <w:t>路演</w:t>
      </w:r>
      <w:r>
        <w:rPr>
          <w:rFonts w:ascii="Times New Roman" w:hAnsi="Times New Roman" w:eastAsia="Times New Roman" w:cs="Times New Roman"/>
          <w:b/>
          <w:bCs/>
          <w:spacing w:val="-12"/>
          <w:sz w:val="39"/>
          <w:szCs w:val="39"/>
        </w:rPr>
        <w:t>PPT</w:t>
      </w:r>
      <w:r>
        <w:rPr>
          <w:b/>
          <w:bCs/>
          <w:spacing w:val="-12"/>
          <w:sz w:val="39"/>
          <w:szCs w:val="39"/>
        </w:rPr>
        <w:t>格式提纲(仅供参考)</w:t>
      </w:r>
    </w:p>
    <w:p w14:paraId="557D90E0">
      <w:pPr>
        <w:spacing w:line="348" w:lineRule="auto"/>
        <w:rPr>
          <w:rFonts w:ascii="Arial"/>
          <w:sz w:val="21"/>
        </w:rPr>
      </w:pPr>
    </w:p>
    <w:p w14:paraId="6CBBA888">
      <w:pPr>
        <w:spacing w:line="349" w:lineRule="auto"/>
        <w:rPr>
          <w:rFonts w:ascii="Arial"/>
          <w:sz w:val="21"/>
        </w:rPr>
      </w:pPr>
    </w:p>
    <w:p w14:paraId="6B2C76CB">
      <w:pPr>
        <w:pStyle w:val="2"/>
        <w:spacing w:before="97" w:line="340" w:lineRule="auto"/>
        <w:ind w:right="50" w:firstLine="600"/>
        <w:jc w:val="both"/>
        <w:rPr>
          <w:rFonts w:ascii="仿宋" w:hAnsi="仿宋" w:eastAsia="仿宋" w:cs="仿宋"/>
          <w:sz w:val="30"/>
          <w:szCs w:val="30"/>
        </w:rPr>
      </w:pPr>
      <w:r>
        <w:rPr>
          <w:rFonts w:ascii="Times New Roman" w:hAnsi="Times New Roman" w:eastAsia="Times New Roman" w:cs="Times New Roman"/>
          <w:spacing w:val="-14"/>
          <w:sz w:val="30"/>
          <w:szCs w:val="30"/>
        </w:rPr>
        <w:t>PPT</w:t>
      </w:r>
      <w:r>
        <w:rPr>
          <w:rFonts w:ascii="Times New Roman" w:hAnsi="Times New Roman" w:eastAsia="Times New Roman" w:cs="Times New Roman"/>
          <w:spacing w:val="51"/>
          <w:sz w:val="30"/>
          <w:szCs w:val="30"/>
        </w:rPr>
        <w:t xml:space="preserve"> </w:t>
      </w:r>
      <w:r>
        <w:rPr>
          <w:spacing w:val="-14"/>
          <w:sz w:val="30"/>
          <w:szCs w:val="30"/>
        </w:rPr>
        <w:t>应包括封面、目录、项目概述、</w:t>
      </w:r>
      <w:r>
        <w:rPr>
          <w:rFonts w:ascii="仿宋" w:hAnsi="仿宋" w:eastAsia="仿宋" w:cs="仿宋"/>
          <w:spacing w:val="-14"/>
          <w:sz w:val="30"/>
          <w:szCs w:val="30"/>
        </w:rPr>
        <w:t>行业背景与市场分析、技术</w:t>
      </w:r>
      <w:r>
        <w:rPr>
          <w:rFonts w:ascii="仿宋" w:hAnsi="仿宋" w:eastAsia="仿宋" w:cs="仿宋"/>
          <w:sz w:val="30"/>
          <w:szCs w:val="30"/>
        </w:rPr>
        <w:t xml:space="preserve"> </w:t>
      </w:r>
      <w:r>
        <w:rPr>
          <w:rFonts w:ascii="仿宋" w:hAnsi="仿宋" w:eastAsia="仿宋" w:cs="仿宋"/>
          <w:spacing w:val="-19"/>
          <w:sz w:val="30"/>
          <w:szCs w:val="30"/>
        </w:rPr>
        <w:t>创新及优势、项目成果预期及影响、团队介绍、融资计划与财务预测、</w:t>
      </w:r>
      <w:r>
        <w:rPr>
          <w:rFonts w:ascii="仿宋" w:hAnsi="仿宋" w:eastAsia="仿宋" w:cs="仿宋"/>
          <w:spacing w:val="8"/>
          <w:sz w:val="30"/>
          <w:szCs w:val="30"/>
        </w:rPr>
        <w:t xml:space="preserve"> </w:t>
      </w:r>
      <w:r>
        <w:rPr>
          <w:rFonts w:ascii="仿宋" w:hAnsi="仿宋" w:eastAsia="仿宋" w:cs="仿宋"/>
          <w:spacing w:val="-14"/>
          <w:sz w:val="30"/>
          <w:szCs w:val="30"/>
        </w:rPr>
        <w:t>联系方式与致谢。</w:t>
      </w:r>
    </w:p>
    <w:p w14:paraId="79C8B8D5">
      <w:pPr>
        <w:spacing w:before="1" w:line="220" w:lineRule="auto"/>
        <w:ind w:left="600"/>
        <w:rPr>
          <w:rFonts w:ascii="仿宋" w:hAnsi="仿宋" w:eastAsia="仿宋" w:cs="仿宋"/>
          <w:sz w:val="30"/>
          <w:szCs w:val="30"/>
        </w:rPr>
      </w:pPr>
      <w:r>
        <w:rPr>
          <w:rFonts w:ascii="Times New Roman" w:hAnsi="Times New Roman" w:eastAsia="Times New Roman" w:cs="Times New Roman"/>
          <w:spacing w:val="-12"/>
          <w:sz w:val="30"/>
          <w:szCs w:val="30"/>
        </w:rPr>
        <w:t>1.</w:t>
      </w:r>
      <w:r>
        <w:rPr>
          <w:rFonts w:ascii="Times New Roman" w:hAnsi="Times New Roman" w:eastAsia="Times New Roman" w:cs="Times New Roman"/>
          <w:spacing w:val="58"/>
          <w:w w:val="101"/>
          <w:sz w:val="30"/>
          <w:szCs w:val="30"/>
        </w:rPr>
        <w:t xml:space="preserve"> </w:t>
      </w:r>
      <w:r>
        <w:rPr>
          <w:rFonts w:ascii="仿宋" w:hAnsi="仿宋" w:eastAsia="仿宋" w:cs="仿宋"/>
          <w:spacing w:val="-12"/>
          <w:sz w:val="30"/>
          <w:szCs w:val="30"/>
        </w:rPr>
        <w:t>项目概述：包括项目简介、项目背景、项目目标、项目进展。</w:t>
      </w:r>
    </w:p>
    <w:p w14:paraId="48D9765B">
      <w:pPr>
        <w:spacing w:before="191" w:line="279" w:lineRule="auto"/>
        <w:ind w:firstLine="600"/>
        <w:rPr>
          <w:rFonts w:ascii="仿宋" w:hAnsi="仿宋" w:eastAsia="仿宋" w:cs="仿宋"/>
          <w:sz w:val="30"/>
          <w:szCs w:val="30"/>
        </w:rPr>
      </w:pPr>
      <w:r>
        <w:rPr>
          <w:rFonts w:ascii="Times New Roman" w:hAnsi="Times New Roman" w:eastAsia="Times New Roman" w:cs="Times New Roman"/>
          <w:spacing w:val="-19"/>
          <w:sz w:val="30"/>
          <w:szCs w:val="30"/>
        </w:rPr>
        <w:t>2.</w:t>
      </w:r>
      <w:r>
        <w:rPr>
          <w:rFonts w:ascii="Times New Roman" w:hAnsi="Times New Roman" w:eastAsia="Times New Roman" w:cs="Times New Roman"/>
          <w:spacing w:val="47"/>
          <w:sz w:val="30"/>
          <w:szCs w:val="30"/>
        </w:rPr>
        <w:t xml:space="preserve"> </w:t>
      </w:r>
      <w:r>
        <w:rPr>
          <w:rFonts w:ascii="仿宋" w:hAnsi="仿宋" w:eastAsia="仿宋" w:cs="仿宋"/>
          <w:spacing w:val="-19"/>
          <w:sz w:val="30"/>
          <w:szCs w:val="30"/>
        </w:rPr>
        <w:t>行业背景与市场分析：包括行业现状趋势规模</w:t>
      </w:r>
      <w:r>
        <w:rPr>
          <w:rFonts w:ascii="仿宋" w:hAnsi="仿宋" w:eastAsia="仿宋" w:cs="仿宋"/>
          <w:spacing w:val="-20"/>
          <w:sz w:val="30"/>
          <w:szCs w:val="30"/>
        </w:rPr>
        <w:t>、市场痛点需求、</w:t>
      </w:r>
      <w:r>
        <w:rPr>
          <w:rFonts w:ascii="仿宋" w:hAnsi="仿宋" w:eastAsia="仿宋" w:cs="仿宋"/>
          <w:sz w:val="30"/>
          <w:szCs w:val="30"/>
        </w:rPr>
        <w:t xml:space="preserve"> </w:t>
      </w:r>
      <w:r>
        <w:rPr>
          <w:rFonts w:ascii="仿宋" w:hAnsi="仿宋" w:eastAsia="仿宋" w:cs="仿宋"/>
          <w:spacing w:val="-14"/>
          <w:sz w:val="30"/>
          <w:szCs w:val="30"/>
        </w:rPr>
        <w:t>竞争格局、差异化机会，尽量采用数据案例佐证。</w:t>
      </w:r>
    </w:p>
    <w:p w14:paraId="5B893954">
      <w:pPr>
        <w:spacing w:before="207" w:line="275" w:lineRule="auto"/>
        <w:ind w:right="128" w:firstLine="600"/>
        <w:rPr>
          <w:rFonts w:ascii="仿宋" w:hAnsi="仿宋" w:eastAsia="仿宋" w:cs="仿宋"/>
          <w:sz w:val="30"/>
          <w:szCs w:val="30"/>
        </w:rPr>
      </w:pPr>
      <w:r>
        <w:rPr>
          <w:rFonts w:ascii="仿宋" w:hAnsi="仿宋" w:eastAsia="仿宋" w:cs="仿宋"/>
          <w:spacing w:val="-13"/>
          <w:sz w:val="30"/>
          <w:szCs w:val="30"/>
        </w:rPr>
        <w:t>3.技术创新及优势：包括核心创新点、专利论文奖项等成果、技</w:t>
      </w:r>
      <w:r>
        <w:rPr>
          <w:rFonts w:ascii="仿宋" w:hAnsi="仿宋" w:eastAsia="仿宋" w:cs="仿宋"/>
          <w:spacing w:val="17"/>
          <w:sz w:val="30"/>
          <w:szCs w:val="30"/>
        </w:rPr>
        <w:t xml:space="preserve"> </w:t>
      </w:r>
      <w:r>
        <w:rPr>
          <w:rFonts w:ascii="仿宋" w:hAnsi="仿宋" w:eastAsia="仿宋" w:cs="仿宋"/>
          <w:spacing w:val="-13"/>
          <w:sz w:val="30"/>
          <w:szCs w:val="30"/>
        </w:rPr>
        <w:t>术先进性实用性、技术竞争壁垒。</w:t>
      </w:r>
    </w:p>
    <w:p w14:paraId="1E9DB548">
      <w:pPr>
        <w:spacing w:before="194" w:line="278" w:lineRule="auto"/>
        <w:ind w:right="111" w:firstLine="600"/>
        <w:rPr>
          <w:rFonts w:ascii="仿宋" w:hAnsi="仿宋" w:eastAsia="仿宋" w:cs="仿宋"/>
          <w:sz w:val="30"/>
          <w:szCs w:val="30"/>
        </w:rPr>
      </w:pPr>
      <w:r>
        <w:rPr>
          <w:rFonts w:ascii="仿宋" w:hAnsi="仿宋" w:eastAsia="仿宋" w:cs="仿宋"/>
          <w:spacing w:val="-14"/>
          <w:sz w:val="30"/>
          <w:szCs w:val="30"/>
        </w:rPr>
        <w:t>4.</w:t>
      </w:r>
      <w:r>
        <w:rPr>
          <w:rFonts w:ascii="仿宋" w:hAnsi="仿宋" w:eastAsia="仿宋" w:cs="仿宋"/>
          <w:spacing w:val="-81"/>
          <w:sz w:val="30"/>
          <w:szCs w:val="30"/>
        </w:rPr>
        <w:t xml:space="preserve"> </w:t>
      </w:r>
      <w:r>
        <w:rPr>
          <w:rFonts w:ascii="仿宋" w:hAnsi="仿宋" w:eastAsia="仿宋" w:cs="仿宋"/>
          <w:spacing w:val="-14"/>
          <w:sz w:val="30"/>
          <w:szCs w:val="30"/>
        </w:rPr>
        <w:t>项目成果预期及影响：包括预期产出、盈利与经</w:t>
      </w:r>
      <w:r>
        <w:rPr>
          <w:rFonts w:ascii="仿宋" w:hAnsi="仿宋" w:eastAsia="仿宋" w:cs="仿宋"/>
          <w:spacing w:val="-15"/>
          <w:sz w:val="30"/>
          <w:szCs w:val="30"/>
        </w:rPr>
        <w:t>济效益、社会</w:t>
      </w:r>
      <w:r>
        <w:rPr>
          <w:rFonts w:ascii="仿宋" w:hAnsi="仿宋" w:eastAsia="仿宋" w:cs="仿宋"/>
          <w:sz w:val="30"/>
          <w:szCs w:val="30"/>
        </w:rPr>
        <w:t xml:space="preserve"> </w:t>
      </w:r>
      <w:r>
        <w:rPr>
          <w:rFonts w:ascii="仿宋" w:hAnsi="仿宋" w:eastAsia="仿宋" w:cs="仿宋"/>
          <w:spacing w:val="-13"/>
          <w:sz w:val="30"/>
          <w:szCs w:val="30"/>
        </w:rPr>
        <w:t>效益、潜在风险及应对方案。</w:t>
      </w:r>
    </w:p>
    <w:p w14:paraId="10CD0EEB">
      <w:pPr>
        <w:spacing w:before="198" w:line="222" w:lineRule="auto"/>
        <w:ind w:left="600"/>
        <w:rPr>
          <w:rFonts w:ascii="仿宋" w:hAnsi="仿宋" w:eastAsia="仿宋" w:cs="仿宋"/>
          <w:sz w:val="30"/>
          <w:szCs w:val="30"/>
        </w:rPr>
      </w:pPr>
      <w:r>
        <w:rPr>
          <w:rFonts w:ascii="Times New Roman" w:hAnsi="Times New Roman" w:eastAsia="Times New Roman" w:cs="Times New Roman"/>
          <w:spacing w:val="-6"/>
          <w:sz w:val="30"/>
          <w:szCs w:val="30"/>
        </w:rPr>
        <w:t>5.</w:t>
      </w:r>
      <w:r>
        <w:rPr>
          <w:rFonts w:ascii="仿宋" w:hAnsi="仿宋" w:eastAsia="仿宋" w:cs="仿宋"/>
          <w:spacing w:val="-6"/>
          <w:sz w:val="30"/>
          <w:szCs w:val="30"/>
        </w:rPr>
        <w:t>团队介绍：包括成员背景、分工、团队核心优势。</w:t>
      </w:r>
    </w:p>
    <w:p w14:paraId="242D6742">
      <w:pPr>
        <w:spacing w:before="188" w:line="277" w:lineRule="auto"/>
        <w:ind w:right="146" w:firstLine="600"/>
        <w:rPr>
          <w:rFonts w:ascii="仿宋" w:hAnsi="仿宋" w:eastAsia="仿宋" w:cs="仿宋"/>
          <w:sz w:val="30"/>
          <w:szCs w:val="30"/>
        </w:rPr>
      </w:pPr>
      <w:r>
        <w:rPr>
          <w:rFonts w:ascii="仿宋" w:hAnsi="仿宋" w:eastAsia="仿宋" w:cs="仿宋"/>
          <w:spacing w:val="-15"/>
          <w:sz w:val="30"/>
          <w:szCs w:val="30"/>
        </w:rPr>
        <w:t>6.</w:t>
      </w:r>
      <w:r>
        <w:rPr>
          <w:rFonts w:ascii="仿宋" w:hAnsi="仿宋" w:eastAsia="仿宋" w:cs="仿宋"/>
          <w:spacing w:val="-87"/>
          <w:sz w:val="30"/>
          <w:szCs w:val="30"/>
        </w:rPr>
        <w:t xml:space="preserve"> </w:t>
      </w:r>
      <w:r>
        <w:rPr>
          <w:rFonts w:ascii="仿宋" w:hAnsi="仿宋" w:eastAsia="仿宋" w:cs="仿宋"/>
          <w:spacing w:val="-15"/>
          <w:sz w:val="30"/>
          <w:szCs w:val="30"/>
        </w:rPr>
        <w:t>融资计划与财务预测：包括资金需求、融资方式</w:t>
      </w:r>
      <w:r>
        <w:rPr>
          <w:rFonts w:ascii="仿宋" w:hAnsi="仿宋" w:eastAsia="仿宋" w:cs="仿宋"/>
          <w:spacing w:val="-16"/>
          <w:sz w:val="30"/>
          <w:szCs w:val="30"/>
        </w:rPr>
        <w:t>及用途、回报</w:t>
      </w:r>
      <w:r>
        <w:rPr>
          <w:rFonts w:ascii="仿宋" w:hAnsi="仿宋" w:eastAsia="仿宋" w:cs="仿宋"/>
          <w:sz w:val="30"/>
          <w:szCs w:val="30"/>
        </w:rPr>
        <w:t xml:space="preserve"> </w:t>
      </w:r>
      <w:r>
        <w:rPr>
          <w:rFonts w:ascii="仿宋" w:hAnsi="仿宋" w:eastAsia="仿宋" w:cs="仿宋"/>
          <w:spacing w:val="-12"/>
          <w:sz w:val="30"/>
          <w:szCs w:val="30"/>
        </w:rPr>
        <w:t>预期、未来财务预测。</w:t>
      </w:r>
    </w:p>
    <w:p w14:paraId="0738AB28">
      <w:pPr>
        <w:spacing w:before="128" w:line="220" w:lineRule="auto"/>
        <w:ind w:left="600"/>
        <w:rPr>
          <w:rFonts w:ascii="仿宋" w:hAnsi="仿宋" w:eastAsia="仿宋" w:cs="仿宋"/>
          <w:sz w:val="30"/>
          <w:szCs w:val="30"/>
        </w:rPr>
      </w:pPr>
      <w:r>
        <w:rPr>
          <w:rFonts w:ascii="Times New Roman" w:hAnsi="Times New Roman" w:eastAsia="Times New Roman" w:cs="Times New Roman"/>
          <w:spacing w:val="-11"/>
          <w:sz w:val="30"/>
          <w:szCs w:val="30"/>
        </w:rPr>
        <w:t>7.</w:t>
      </w:r>
      <w:r>
        <w:rPr>
          <w:rFonts w:ascii="Times New Roman" w:hAnsi="Times New Roman" w:eastAsia="Times New Roman" w:cs="Times New Roman"/>
          <w:spacing w:val="58"/>
          <w:sz w:val="30"/>
          <w:szCs w:val="30"/>
        </w:rPr>
        <w:t xml:space="preserve"> </w:t>
      </w:r>
      <w:r>
        <w:rPr>
          <w:rFonts w:ascii="仿宋" w:hAnsi="仿宋" w:eastAsia="仿宋" w:cs="仿宋"/>
          <w:spacing w:val="-11"/>
          <w:sz w:val="30"/>
          <w:szCs w:val="30"/>
        </w:rPr>
        <w:t>联系方式与致谢：团队联系信息，致谢合作方、评审专家。</w:t>
      </w:r>
    </w:p>
    <w:sectPr>
      <w:footerReference r:id="rId10" w:type="default"/>
      <w:pgSz w:w="11910" w:h="16840"/>
      <w:pgMar w:top="1431" w:right="1359" w:bottom="1861" w:left="1779" w:header="0" w:footer="15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F79CE">
    <w:pPr>
      <w:spacing w:line="50" w:lineRule="exact"/>
    </w:pPr>
    <w:r>
      <w:rPr>
        <w:position w:val="-1"/>
      </w:rPr>
      <w:drawing>
        <wp:inline distT="0" distB="0" distL="0" distR="0">
          <wp:extent cx="6051550" cy="3175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051566" cy="31824"/>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4918">
    <w:pPr>
      <w:pStyle w:val="2"/>
      <w:spacing w:line="234" w:lineRule="auto"/>
      <w:rPr>
        <w:sz w:val="27"/>
        <w:szCs w:val="27"/>
      </w:rPr>
    </w:pPr>
    <w:r>
      <w:rPr>
        <w:spacing w:val="-3"/>
        <w:sz w:val="27"/>
        <w:szCs w:val="27"/>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18007">
    <w:pPr>
      <w:pStyle w:val="2"/>
      <w:spacing w:line="232" w:lineRule="auto"/>
      <w:ind w:left="7789"/>
      <w:rPr>
        <w:sz w:val="26"/>
        <w:szCs w:val="26"/>
      </w:rPr>
    </w:pPr>
    <w:r>
      <w:rPr>
        <w:spacing w:val="-3"/>
        <w:sz w:val="26"/>
        <w:szCs w:val="2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0D034">
    <w:pPr>
      <w:pStyle w:val="2"/>
      <w:spacing w:line="234" w:lineRule="auto"/>
      <w:ind w:left="95"/>
      <w:rPr>
        <w:sz w:val="29"/>
        <w:szCs w:val="29"/>
      </w:rPr>
    </w:pPr>
    <w:r>
      <w:rPr>
        <w:spacing w:val="-3"/>
        <w:sz w:val="29"/>
        <w:szCs w:val="29"/>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1E73">
    <w:pPr>
      <w:pStyle w:val="2"/>
      <w:spacing w:before="1" w:line="231" w:lineRule="auto"/>
      <w:ind w:left="13114"/>
      <w:rPr>
        <w:sz w:val="24"/>
        <w:szCs w:val="24"/>
      </w:rPr>
    </w:pPr>
    <w:r>
      <w:rPr>
        <w:strike/>
        <w:spacing w:val="-3"/>
        <w:sz w:val="24"/>
        <w:szCs w:val="24"/>
      </w:rPr>
      <w:t>—5</w:t>
    </w:r>
    <w:r>
      <w:rPr>
        <w:spacing w:val="-3"/>
        <w:sz w:val="24"/>
        <w:szCs w:val="24"/>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D4E8F">
    <w:pPr>
      <w:pStyle w:val="2"/>
      <w:spacing w:before="1" w:line="232" w:lineRule="auto"/>
      <w:rPr>
        <w:sz w:val="27"/>
        <w:szCs w:val="27"/>
      </w:rPr>
    </w:pPr>
    <w:r>
      <w:rPr>
        <w:spacing w:val="-3"/>
        <w:sz w:val="27"/>
        <w:szCs w:val="27"/>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2A60AC9"/>
    <w:rsid w:val="4D8822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68"/>
      <w:szCs w:val="6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fb49094c-9976-4030-b27a-ea9dafb89b4a</errorID>
      <errorWord>安 徽 省 工 业 和 信 息 化 厅</errorWord>
      <group>L1_Political</group>
      <groupName>政治性问题</groupName>
      <ability>L2_Keyword</ability>
      <abilityName>固定表述</abilityName>
      <candidateList>
        <item>安徽省工业和信息化厅</item>
      </candidateList>
      <explain>此处内容疑似含有固定表述相关错误，建议核查。</explain>
      <paraID>4D70AC03</paraID>
      <start>1</start>
      <end>20</end>
      <status>unmodified</status>
      <modifiedWord/>
      <trackRevisions>false</trackRevisions>
    </reviewItem>
    <reviewItem>
      <errorID>71997a59-9c95-4a51-965f-18264754c100</errorID>
      <errorWord>发  展</errorWord>
      <group>L1_Word</group>
      <groupName>字词问题</groupName>
      <ability>L2_Typo</ability>
      <abilityName>字词错误</abilityName>
      <candidateList>
        <item>发展要求</item>
      </candidateList>
      <explain/>
      <paraID>4976DBAC</paraID>
      <start>25</start>
      <end>29</end>
      <status>unmodified</status>
      <modifiedWord/>
      <trackRevisions>false</trackRevisions>
    </reviewItem>
    <reviewItem>
      <errorID>a912e32a-8b72-469e-80e8-46364e827d12</errorID>
      <errorWord> </errorWord>
      <group>L1_Punc</group>
      <groupName>标点问题</groupName>
      <ability>L2_Punc_CN</ability>
      <abilityName>标点符号问题</abilityName>
      <candidateList>
        <item/>
      </candidateList>
      <explain>此处空格冗余，建议删除。</explain>
      <paraID>4976DBAC</paraID>
      <start>54</start>
      <end>55</end>
      <status>unmodified</status>
      <modifiedWord/>
      <trackRevisions>false</trackRevisions>
    </reviewItem>
    <reviewItem>
      <errorID>0dc6b8ba-2221-49a1-aeaf-b1c65adccf52</errorID>
      <errorWord>安徽  省</errorWord>
      <group>L1_Grammar</group>
      <groupName>语法问题</groupName>
      <ability>L2_Grammar</ability>
      <abilityName>语法错误</abilityName>
      <candidateList>
        <item>安徽省</item>
      </candidateList>
      <explain/>
      <paraID>4976DBAC</paraID>
      <start>83</start>
      <end>88</end>
      <status>unmodified</status>
      <modifiedWord/>
      <trackRevisions>false</trackRevisions>
    </reviewItem>
    <reviewItem>
      <errorID>48f428b6-8eb3-4928-940d-9164bc73b81e</errorID>
      <errorWord>安徽省国有资产监督委员会</errorWord>
      <group>L1_Other</group>
      <groupName>其他问题</groupName>
      <ability>L2_Consistency</ability>
      <abilityName>一致性检查</abilityName>
      <candidateList>
        <item>安徽省人民政府国有资产监督管理委员会</item>
      </candidateList>
      <explain>实体一致性错误，发文落款该机构的规范全称为安徽省人民政府国有资产监督管理委员会，此处表述不一致</explain>
      <paraID>7DB9F359</paraID>
      <start>13</start>
      <end>25</end>
      <status>unmodified</status>
      <modifiedWord/>
      <trackRevisions>false</trackRevisions>
    </reviewItem>
    <reviewItem>
      <errorID>d5bcb131-56f4-4f91-9915-0e2766900a51</errorID>
      <errorWord> </errorWord>
      <group>L1_Punc</group>
      <groupName>标点问题</groupName>
      <ability>L2_Punc_CN</ability>
      <abilityName>标点符号问题</abilityName>
      <candidateList>
        <item/>
      </candidateList>
      <explain>此处空格冗余，建议删除。</explain>
      <paraID>7DB9F359</paraID>
      <start>26</start>
      <end>27</end>
      <status>unmodified</status>
      <modifiedWord/>
      <trackRevisions>false</trackRevisions>
    </reviewItem>
    <reviewItem>
      <errorID>ada5da4e-d038-4156-b9e8-c20c679b96d4</errorID>
      <errorWord>专精特 新企业</errorWord>
      <group>L1_Political</group>
      <groupName>政治性问题</groupName>
      <ability>L2_Keyword</ability>
      <abilityName>固定表述</abilityName>
      <candidateList>
        <item>专精特新企业</item>
      </candidateList>
      <explain>词汇“专精特新企业”在特定场景下为固定表述形式，请确认此处的“专精特 新企业”是否存在不当。</explain>
      <paraID>6382F914</paraID>
      <start>23</start>
      <end>30</end>
      <status>unmodified</status>
      <modifiedWord/>
      <trackRevisions>false</trackRevisions>
    </reviewItem>
    <reviewItem>
      <errorID>84944aa8-6534-44b4-8add-3f617f100d45</errorID>
      <errorWord>;</errorWord>
      <group>L1_Format</group>
      <groupName>格式问题</groupName>
      <ability>L2_HalfPunc_CN</ability>
      <abilityName>全半角问题</abilityName>
      <candidateList>
        <item>；</item>
      </candidateList>
      <explain>文本全半角错误。</explain>
      <paraID>4D67E4E8</paraID>
      <start>48</start>
      <end>49</end>
      <status>unmodified</status>
      <modifiedWord/>
      <trackRevisions>false</trackRevisions>
    </reviewItem>
    <reviewItem>
      <errorID>f4d923e3-3c59-4be8-b5dd-3492c48da0c6</errorID>
      <errorWord>安徽省工亚和信息化厅</errorWord>
      <group>L1_Other</group>
      <groupName>其他问题</groupName>
      <ability>L2_Consistency</ability>
      <abilityName>一致性检查</abilityName>
      <candidateList>
        <item>安徽省工业和信息化厅</item>
      </candidateList>
      <explain>实体一致性错误，前文该机构名称为安徽省工业和信息化厅，此处表述不一致</explain>
      <paraID>1A2C22AF</paraID>
      <start>2</start>
      <end>12</end>
      <status>unmodified</status>
      <modifiedWord/>
      <trackRevisions>false</trackRevisions>
    </reviewItem>
    <reviewItem>
      <errorID>c9519882-4f5d-4fd4-867c-85f782696840</errorID>
      <errorWord> </errorWord>
      <group>L1_Punc</group>
      <groupName>标点问题</groupName>
      <ability>L2_Punc_CN</ability>
      <abilityName>标点符号问题</abilityName>
      <candidateList>
        <item/>
      </candidateList>
      <explain>此处空格冗余，建议删除。</explain>
      <paraID> F232ECB</paraID>
      <start>1</start>
      <end>2</end>
      <status>unmodified</status>
      <modifiedWord/>
      <trackRevisions>false</trackRevisions>
    </reviewItem>
    <reviewItem>
      <errorID>645552ed-1d87-4bf7-8e4f-ce8e9bf5bf84</errorID>
      <errorWord>社会 效益</errorWord>
      <group>L1_Word</group>
      <groupName>字词问题</groupName>
      <ability>L2_Typo</ability>
      <abilityName>字词错误</abilityName>
      <candidateList>
        <item>社会效益</item>
      </candidateList>
      <explain/>
      <paraID>1E9DB548</paraID>
      <start>28</start>
      <end>33</end>
      <status>unmodified</status>
      <modifiedWord/>
      <trackRevisions>false</trackRevisions>
    </reviewItem>
    <reviewItem>
      <errorID>e29f3124-242c-4c8f-82d1-3474c765c7e0</errorID>
      <errorWord>、</errorWord>
      <group>L1_Word</group>
      <groupName>字词问题</groupName>
      <ability>L2_Typo</ability>
      <abilityName>字词错误</abilityName>
      <candidateList>
        <item>及</item>
      </candidateList>
      <explain/>
      <paraID>10CD0EEB</paraID>
      <start>16</start>
      <end>17</end>
      <status>unmodified</status>
      <modifiedWord/>
      <trackRevisions>false</trackRevisions>
    </reviewItem>
    <reviewItem>
      <errorID>a0e8fb48-e034-460c-8bca-c9a882e00cdd</errorID>
      <errorWord> </errorWord>
      <group>L1_Punc</group>
      <groupName>标点问题</groupName>
      <ability>L2_Punc_CN</ability>
      <abilityName>标点符号问题</abilityName>
      <candidateList>
        <item/>
      </candidateList>
      <explain>此处空格冗余，建议删除。</explain>
      <paraID>242D6742</paraID>
      <start>30</start>
      <end>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64e3df-51b7-450f-8c29-88e39937c7a8}">
  <ds:schemaRefs/>
</ds:datastoreItem>
</file>

<file path=docProps/app.xml><?xml version="1.0" encoding="utf-8"?>
<Properties xmlns="http://schemas.openxmlformats.org/officeDocument/2006/extended-properties" xmlns:vt="http://schemas.openxmlformats.org/officeDocument/2006/docPropsVTypes">
  <Pages>6</Pages>
  <Words>1572</Words>
  <Characters>1669</Characters>
  <TotalTime>0</TotalTime>
  <ScaleCrop>false</ScaleCrop>
  <LinksUpToDate>false</LinksUpToDate>
  <CharactersWithSpaces>1766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2026-09-15T09:41:00Z</dcterms:created>
  <dc:creator>Admin</dc:creator>
  <cp:lastModifiedBy>一隅</cp:lastModifiedBy>
  <dcterms:modified xsi:type="dcterms:W3CDTF">2026-09-15T01:43:04Z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2026-09-15T09:41:58Z</vt:filetime>
  </property>
  <property fmtid="{D5CDD505-2E9C-101B-9397-08002B2CF9AE}" pid="4" name="UsrData">
    <vt:lpwstr>6aa8a263fb8938001f97273awl</vt:lpwstr>
  </property>
  <property fmtid="{D5CDD505-2E9C-101B-9397-08002B2CF9AE}" pid="5" name="KSOTemplateDocerSaveRecord">
    <vt:lpwstr>eyJoZGlkIjoiNzA4YTc1ZmY0M2JmNWIxZThjNzUzZmFkNWM1MjRkYTciLCJ1c2VySWQiOiI0MTY1OTE1OTEifQ==</vt:lpwstr>
  </property>
  <property fmtid="{D5CDD505-2E9C-101B-9397-08002B2CF9AE}" pid="6" name="KSOProductBuildVer">
    <vt:lpwstr>2052-12.1.0.28505</vt:lpwstr>
  </property>
  <property fmtid="{D5CDD505-2E9C-101B-9397-08002B2CF9AE}" pid="7" name="ICV">
    <vt:lpwstr>8C42EF78D0E1441A96B7F408846480D3_12</vt:lpwstr>
  </property>
</Properties>
</file>