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
      <w:pPr>
        <w:jc w:val="left"/>
        <w:rPr>
          <w:rFonts w:hint="eastAsia" w:ascii="黑体" w:hAnsi="黑体" w:eastAsia="黑体"/>
          <w:sz w:val="32"/>
          <w:szCs w:val="32"/>
        </w:rPr>
      </w:pPr>
    </w:p>
    <w:p>
      <w:pPr>
        <w:jc w:val="left"/>
        <w:rPr>
          <w:rFonts w:hint="eastAsia" w:ascii="黑体" w:hAnsi="黑体" w:eastAsia="黑体"/>
          <w:sz w:val="32"/>
          <w:szCs w:val="32"/>
        </w:rPr>
      </w:pPr>
      <w:r>
        <w:rPr>
          <w:rFonts w:hint="eastAsia" w:ascii="黑体" w:hAnsi="黑体" w:eastAsia="黑体"/>
          <w:sz w:val="32"/>
          <w:szCs w:val="32"/>
        </w:rPr>
        <w:t>附件2</w:t>
      </w:r>
    </w:p>
    <w:p>
      <w:pPr>
        <w:spacing w:line="600" w:lineRule="exact"/>
        <w:jc w:val="center"/>
        <w:rPr>
          <w:rFonts w:hint="eastAsia" w:ascii="方正小标宋简体" w:hAnsi="方正小标宋简体" w:eastAsia="方正小标宋简体" w:cs="方正小标宋简体"/>
          <w:b/>
          <w:bCs/>
          <w:sz w:val="44"/>
          <w:szCs w:val="44"/>
        </w:rPr>
      </w:pPr>
    </w:p>
    <w:p>
      <w:pPr>
        <w:spacing w:line="600" w:lineRule="exact"/>
        <w:jc w:val="center"/>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安徽省专业技术人员继续教育管理平台</w:t>
      </w:r>
    </w:p>
    <w:p>
      <w:pPr>
        <w:spacing w:line="600" w:lineRule="exact"/>
        <w:jc w:val="center"/>
        <w:rPr>
          <w:rFonts w:hint="eastAsia" w:ascii="方正小标宋简体" w:hAnsi="方正小标宋简体" w:eastAsia="方正小标宋简体" w:cs="方正小标宋简体"/>
          <w:b w:val="0"/>
          <w:bCs/>
          <w:sz w:val="44"/>
          <w:szCs w:val="44"/>
        </w:rPr>
      </w:pPr>
      <w:r>
        <w:rPr>
          <w:rFonts w:hint="eastAsia" w:ascii="方正小标宋简体" w:hAnsi="方正小标宋简体" w:eastAsia="方正小标宋简体" w:cs="方正小标宋简体"/>
          <w:b w:val="0"/>
          <w:bCs/>
          <w:sz w:val="44"/>
          <w:szCs w:val="44"/>
        </w:rPr>
        <w:t>有关问题解答</w:t>
      </w:r>
    </w:p>
    <w:p>
      <w:pPr>
        <w:spacing w:line="600" w:lineRule="exact"/>
        <w:jc w:val="center"/>
        <w:rPr>
          <w:rFonts w:hint="eastAsia" w:ascii="仿宋_GB2312" w:hAnsi="仿宋" w:eastAsia="仿宋_GB2312" w:cs="方正小标宋简体"/>
          <w:b/>
          <w:bCs/>
          <w:sz w:val="30"/>
          <w:szCs w:val="30"/>
        </w:rPr>
      </w:pPr>
    </w:p>
    <w:p>
      <w:pPr>
        <w:spacing w:line="600" w:lineRule="exact"/>
        <w:ind w:firstLine="588" w:firstLineChars="196"/>
        <w:jc w:val="left"/>
        <w:rPr>
          <w:rFonts w:hint="eastAsia" w:ascii="黑体" w:hAnsi="黑体" w:eastAsia="黑体" w:cs="宋体"/>
          <w:b w:val="0"/>
          <w:bCs/>
          <w:sz w:val="30"/>
          <w:szCs w:val="30"/>
        </w:rPr>
      </w:pPr>
      <w:r>
        <w:rPr>
          <w:rFonts w:hint="eastAsia" w:ascii="黑体" w:hAnsi="黑体" w:eastAsia="黑体" w:cs="宋体"/>
          <w:b w:val="0"/>
          <w:bCs/>
          <w:sz w:val="30"/>
          <w:szCs w:val="30"/>
        </w:rPr>
        <w:t>一、问：如何报名学习2021年度公需课？</w:t>
      </w:r>
    </w:p>
    <w:p>
      <w:pPr>
        <w:spacing w:line="60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答：2021年度继续教育公需课，统一在</w:t>
      </w:r>
      <w:r>
        <w:rPr>
          <w:rFonts w:hint="eastAsia" w:ascii="仿宋_GB2312" w:hAnsi="仿宋" w:eastAsia="仿宋_GB2312" w:cs="宋体"/>
          <w:b/>
          <w:bCs/>
          <w:color w:val="0000FF"/>
          <w:sz w:val="30"/>
          <w:szCs w:val="30"/>
        </w:rPr>
        <w:t>安徽省专业技术人员继续教育管理平台</w:t>
      </w:r>
      <w:r>
        <w:rPr>
          <w:rFonts w:hint="eastAsia" w:ascii="仿宋_GB2312" w:hAnsi="仿宋" w:eastAsia="仿宋_GB2312" w:cs="宋体"/>
          <w:sz w:val="30"/>
          <w:szCs w:val="30"/>
        </w:rPr>
        <w:t>上报名，学员登录管理平台并完善信息后到“</w:t>
      </w:r>
      <w:r>
        <w:rPr>
          <w:rFonts w:hint="eastAsia" w:ascii="仿宋_GB2312" w:hAnsi="仿宋" w:eastAsia="仿宋_GB2312" w:cs="宋体"/>
          <w:b/>
          <w:bCs/>
          <w:color w:val="0000FF"/>
          <w:sz w:val="30"/>
          <w:szCs w:val="30"/>
        </w:rPr>
        <w:t>报名培训</w:t>
      </w:r>
      <w:r>
        <w:rPr>
          <w:rFonts w:hint="eastAsia" w:ascii="仿宋_GB2312" w:hAnsi="仿宋" w:eastAsia="仿宋_GB2312" w:cs="宋体"/>
          <w:sz w:val="30"/>
          <w:szCs w:val="30"/>
        </w:rPr>
        <w:t>”栏目，选择专题去报名；报名生成管理平台报名记录后到对应培训平台进行缴费学习的操作；学习完成并考试通过后到管理平台查看和下载2021年度公需课电子证书。</w:t>
      </w:r>
    </w:p>
    <w:p>
      <w:pPr>
        <w:spacing w:line="600" w:lineRule="exact"/>
        <w:ind w:firstLine="596" w:firstLineChars="198"/>
        <w:rPr>
          <w:rFonts w:hint="eastAsia" w:ascii="仿宋_GB2312" w:hAnsi="仿宋" w:eastAsia="仿宋_GB2312" w:cs="宋体"/>
          <w:sz w:val="30"/>
          <w:szCs w:val="30"/>
        </w:rPr>
      </w:pPr>
      <w:r>
        <w:rPr>
          <w:rFonts w:hint="eastAsia" w:ascii="仿宋_GB2312" w:hAnsi="仿宋" w:eastAsia="仿宋_GB2312" w:cs="宋体"/>
          <w:b/>
          <w:bCs/>
          <w:color w:val="0000FF"/>
          <w:sz w:val="30"/>
          <w:szCs w:val="30"/>
        </w:rPr>
        <w:t>报名流程：</w:t>
      </w:r>
      <w:r>
        <w:rPr>
          <w:rFonts w:hint="eastAsia" w:ascii="仿宋_GB2312" w:hAnsi="仿宋" w:eastAsia="仿宋_GB2312" w:cs="宋体"/>
          <w:sz w:val="30"/>
          <w:szCs w:val="30"/>
        </w:rPr>
        <w:t>管理平台登录——管理平台报名——培训平台缴费，报名成功</w:t>
      </w:r>
    </w:p>
    <w:p>
      <w:pPr>
        <w:spacing w:line="600" w:lineRule="exact"/>
        <w:ind w:firstLine="596" w:firstLineChars="198"/>
        <w:rPr>
          <w:rFonts w:hint="eastAsia" w:ascii="仿宋_GB2312" w:hAnsi="仿宋" w:eastAsia="仿宋_GB2312" w:cs="宋体"/>
          <w:sz w:val="30"/>
          <w:szCs w:val="30"/>
        </w:rPr>
      </w:pPr>
      <w:r>
        <w:rPr>
          <w:rFonts w:hint="eastAsia" w:ascii="仿宋_GB2312" w:hAnsi="仿宋" w:eastAsia="仿宋_GB2312" w:cs="宋体"/>
          <w:b/>
          <w:bCs/>
          <w:color w:val="0000FF"/>
          <w:sz w:val="30"/>
          <w:szCs w:val="30"/>
        </w:rPr>
        <w:t>学习流程：</w:t>
      </w:r>
      <w:r>
        <w:rPr>
          <w:rFonts w:hint="eastAsia" w:ascii="仿宋_GB2312" w:hAnsi="仿宋" w:eastAsia="仿宋_GB2312" w:cs="宋体"/>
          <w:sz w:val="30"/>
          <w:szCs w:val="30"/>
        </w:rPr>
        <w:t>登录管理平台选择已报名的课程去学习，或者直接登录培训平台——学习考试完成——管理平台打印电子证书</w:t>
      </w:r>
    </w:p>
    <w:p>
      <w:pPr>
        <w:spacing w:line="600" w:lineRule="exact"/>
        <w:ind w:firstLine="588" w:firstLineChars="196"/>
        <w:jc w:val="left"/>
        <w:rPr>
          <w:rFonts w:hint="eastAsia" w:ascii="黑体" w:hAnsi="黑体" w:eastAsia="黑体" w:cs="宋体"/>
          <w:b w:val="0"/>
          <w:bCs/>
          <w:sz w:val="30"/>
          <w:szCs w:val="30"/>
        </w:rPr>
      </w:pPr>
      <w:r>
        <w:rPr>
          <w:rFonts w:hint="eastAsia" w:ascii="黑体" w:hAnsi="黑体" w:eastAsia="黑体" w:cs="宋体"/>
          <w:b w:val="0"/>
          <w:bCs/>
          <w:sz w:val="30"/>
          <w:szCs w:val="30"/>
        </w:rPr>
        <w:t>二、问：如何登录安徽省专业技术人员继续教育管理平台？</w:t>
      </w:r>
    </w:p>
    <w:p>
      <w:pPr>
        <w:spacing w:line="600" w:lineRule="exact"/>
        <w:ind w:firstLine="600" w:firstLineChars="200"/>
        <w:jc w:val="left"/>
        <w:rPr>
          <w:rFonts w:hint="eastAsia" w:ascii="仿宋_GB2312" w:hAnsi="仿宋" w:eastAsia="仿宋_GB2312" w:cs="仿宋"/>
          <w:sz w:val="30"/>
          <w:szCs w:val="30"/>
        </w:rPr>
      </w:pPr>
      <w:r>
        <w:rPr>
          <w:rFonts w:hint="eastAsia" w:ascii="仿宋_GB2312" w:hAnsi="仿宋" w:eastAsia="仿宋_GB2312" w:cs="宋体"/>
          <w:sz w:val="30"/>
          <w:szCs w:val="30"/>
        </w:rPr>
        <w:t>答：</w:t>
      </w:r>
      <w:r>
        <w:rPr>
          <w:rFonts w:hint="eastAsia" w:ascii="仿宋_GB2312" w:hAnsi="仿宋" w:eastAsia="仿宋_GB2312" w:cs="仿宋"/>
          <w:sz w:val="30"/>
          <w:szCs w:val="30"/>
        </w:rPr>
        <w:t>打</w:t>
      </w:r>
      <w:r>
        <w:rPr>
          <w:rFonts w:hint="eastAsia" w:ascii="仿宋_GB2312" w:hAnsi="仿宋" w:eastAsia="仿宋_GB2312" w:cs="仿宋"/>
          <w:spacing w:val="-4"/>
          <w:sz w:val="30"/>
          <w:szCs w:val="30"/>
        </w:rPr>
        <w:t>开安徽省人力资源和社会保障厅官网，点击网站左侧“在线办事”栏目，或直接打开网上办事大厅</w:t>
      </w:r>
      <w:r>
        <w:rPr>
          <w:rFonts w:hint="eastAsia" w:ascii="仿宋_GB2312" w:hAnsi="仿宋" w:eastAsia="仿宋_GB2312" w:cs="仿宋"/>
          <w:spacing w:val="-10"/>
          <w:sz w:val="30"/>
          <w:szCs w:val="30"/>
        </w:rPr>
        <w:t>（http://hrss.ah.gov.cn/ggfwwt）</w:t>
      </w:r>
      <w:r>
        <w:rPr>
          <w:rFonts w:hint="eastAsia" w:ascii="仿宋_GB2312" w:hAnsi="仿宋" w:eastAsia="仿宋_GB2312" w:cs="仿宋"/>
          <w:spacing w:val="-4"/>
          <w:sz w:val="30"/>
          <w:szCs w:val="30"/>
        </w:rPr>
        <w:t>，</w:t>
      </w:r>
      <w:r>
        <w:rPr>
          <w:rFonts w:hint="eastAsia" w:ascii="仿宋_GB2312" w:hAnsi="仿宋" w:eastAsia="仿宋_GB2312" w:cs="仿宋"/>
          <w:sz w:val="30"/>
          <w:szCs w:val="30"/>
        </w:rPr>
        <w:t>从“</w:t>
      </w:r>
      <w:r>
        <w:rPr>
          <w:rFonts w:hint="eastAsia" w:ascii="仿宋_GB2312" w:hAnsi="仿宋" w:eastAsia="仿宋_GB2312" w:cs="仿宋"/>
          <w:b/>
          <w:bCs/>
          <w:color w:val="0000FF"/>
          <w:sz w:val="30"/>
          <w:szCs w:val="30"/>
        </w:rPr>
        <w:t>专业技术人员综合服务——继续教育官方入口</w:t>
      </w:r>
      <w:r>
        <w:rPr>
          <w:rFonts w:hint="eastAsia" w:ascii="仿宋_GB2312" w:hAnsi="仿宋" w:eastAsia="仿宋_GB2312" w:cs="仿宋"/>
          <w:sz w:val="30"/>
          <w:szCs w:val="30"/>
        </w:rPr>
        <w:t>”进入继续教育管理平台。根据提示按钮“</w:t>
      </w:r>
      <w:r>
        <w:rPr>
          <w:rFonts w:hint="eastAsia" w:ascii="仿宋_GB2312" w:hAnsi="仿宋" w:eastAsia="仿宋_GB2312" w:cs="仿宋"/>
          <w:b/>
          <w:bCs/>
          <w:color w:val="0000FF"/>
          <w:sz w:val="30"/>
          <w:szCs w:val="30"/>
        </w:rPr>
        <w:t>点击前往安徽政务服务网</w:t>
      </w:r>
      <w:r>
        <w:rPr>
          <w:rFonts w:hint="eastAsia" w:ascii="仿宋_GB2312" w:hAnsi="仿宋" w:eastAsia="仿宋_GB2312" w:cs="仿宋"/>
          <w:sz w:val="30"/>
          <w:szCs w:val="30"/>
        </w:rPr>
        <w:t>”，使用安徽政务服务网账号登录。</w:t>
      </w:r>
    </w:p>
    <w:p>
      <w:pPr>
        <w:spacing w:line="360" w:lineRule="auto"/>
        <w:jc w:val="left"/>
        <w:rPr>
          <w:rFonts w:ascii="仿宋" w:hAnsi="仿宋" w:eastAsia="仿宋" w:cs="宋体"/>
          <w:sz w:val="24"/>
          <w:szCs w:val="24"/>
        </w:rPr>
      </w:pPr>
      <w:r>
        <w:drawing>
          <wp:inline distT="0" distB="0" distL="114300" distR="114300">
            <wp:extent cx="4940935" cy="2570480"/>
            <wp:effectExtent l="0" t="0" r="12065" b="1270"/>
            <wp:docPr id="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7"/>
                    <pic:cNvPicPr>
                      <a:picLocks noChangeAspect="1"/>
                    </pic:cNvPicPr>
                  </pic:nvPicPr>
                  <pic:blipFill>
                    <a:blip r:embed="rId6"/>
                    <a:stretch>
                      <a:fillRect/>
                    </a:stretch>
                  </pic:blipFill>
                  <pic:spPr>
                    <a:xfrm>
                      <a:off x="0" y="0"/>
                      <a:ext cx="4958226" cy="3394826"/>
                    </a:xfrm>
                    <a:prstGeom prst="rect">
                      <a:avLst/>
                    </a:prstGeom>
                    <a:noFill/>
                    <a:ln w="9525">
                      <a:noFill/>
                    </a:ln>
                    <a:effectLst/>
                  </pic:spPr>
                </pic:pic>
              </a:graphicData>
            </a:graphic>
          </wp:inline>
        </w:drawing>
      </w:r>
    </w:p>
    <w:p>
      <w:pPr>
        <w:spacing w:line="360" w:lineRule="auto"/>
        <w:jc w:val="center"/>
        <w:rPr>
          <w:rFonts w:ascii="仿宋" w:hAnsi="仿宋" w:eastAsia="仿宋"/>
          <w:sz w:val="24"/>
          <w:szCs w:val="24"/>
        </w:rPr>
      </w:pPr>
      <w:r>
        <w:rPr>
          <w:rFonts w:ascii="仿宋" w:hAnsi="仿宋" w:eastAsia="仿宋"/>
          <w:sz w:val="24"/>
          <w:szCs w:val="24"/>
        </w:rPr>
        <w:drawing>
          <wp:inline distT="0" distB="0" distL="114300" distR="114300">
            <wp:extent cx="5300345" cy="2978150"/>
            <wp:effectExtent l="0" t="0" r="14605" b="12700"/>
            <wp:docPr id="1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
                    <pic:cNvPicPr>
                      <a:picLocks noChangeAspect="1"/>
                    </pic:cNvPicPr>
                  </pic:nvPicPr>
                  <pic:blipFill>
                    <a:blip r:embed="rId7"/>
                    <a:stretch>
                      <a:fillRect/>
                    </a:stretch>
                  </pic:blipFill>
                  <pic:spPr>
                    <a:xfrm>
                      <a:off x="0" y="0"/>
                      <a:ext cx="5309430" cy="2983711"/>
                    </a:xfrm>
                    <a:prstGeom prst="rect">
                      <a:avLst/>
                    </a:prstGeom>
                    <a:noFill/>
                    <a:ln>
                      <a:noFill/>
                    </a:ln>
                    <a:effectLst/>
                  </pic:spPr>
                </pic:pic>
              </a:graphicData>
            </a:graphic>
          </wp:inline>
        </w:drawing>
      </w:r>
    </w:p>
    <w:p>
      <w:pPr>
        <w:spacing w:line="360" w:lineRule="auto"/>
        <w:jc w:val="center"/>
        <w:rPr>
          <w:rFonts w:ascii="仿宋" w:hAnsi="仿宋" w:eastAsia="仿宋"/>
          <w:sz w:val="24"/>
          <w:szCs w:val="24"/>
        </w:rPr>
      </w:pPr>
      <w:r>
        <w:rPr>
          <w:rFonts w:ascii="仿宋" w:hAnsi="仿宋" w:eastAsia="仿宋"/>
          <w:sz w:val="24"/>
          <w:szCs w:val="24"/>
        </w:rPr>
        <w:drawing>
          <wp:inline distT="0" distB="0" distL="114300" distR="114300">
            <wp:extent cx="5266055" cy="2296160"/>
            <wp:effectExtent l="0" t="0" r="10795" b="8890"/>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8"/>
                    <a:stretch>
                      <a:fillRect/>
                    </a:stretch>
                  </pic:blipFill>
                  <pic:spPr>
                    <a:xfrm>
                      <a:off x="0" y="0"/>
                      <a:ext cx="5271135" cy="2094865"/>
                    </a:xfrm>
                    <a:prstGeom prst="rect">
                      <a:avLst/>
                    </a:prstGeom>
                    <a:noFill/>
                    <a:ln>
                      <a:noFill/>
                    </a:ln>
                    <a:effectLst/>
                  </pic:spPr>
                </pic:pic>
              </a:graphicData>
            </a:graphic>
          </wp:inline>
        </w:drawing>
      </w:r>
    </w:p>
    <w:p>
      <w:pPr>
        <w:spacing w:line="520" w:lineRule="exact"/>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（一）已有安徽省政务服务网账号的学员，可直接在“</w:t>
      </w:r>
      <w:r>
        <w:rPr>
          <w:rFonts w:hint="eastAsia" w:ascii="仿宋_GB2312" w:hAnsi="仿宋" w:eastAsia="仿宋_GB2312" w:cs="宋体"/>
          <w:b/>
          <w:bCs/>
          <w:color w:val="0000FF"/>
          <w:sz w:val="30"/>
          <w:szCs w:val="30"/>
        </w:rPr>
        <w:t>个人用户</w:t>
      </w:r>
      <w:r>
        <w:rPr>
          <w:rFonts w:hint="eastAsia" w:ascii="仿宋_GB2312" w:hAnsi="仿宋" w:eastAsia="仿宋_GB2312" w:cs="宋体"/>
          <w:sz w:val="30"/>
          <w:szCs w:val="30"/>
        </w:rPr>
        <w:t>”栏登录，支持账号密码登录和支付宝扫码授权登录，登录成功后自动进入继续教育管理平台。</w:t>
      </w:r>
    </w:p>
    <w:p>
      <w:pPr>
        <w:spacing w:line="520" w:lineRule="exact"/>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（二）没有安徽政务服务网账号的学员，点击“</w:t>
      </w:r>
      <w:r>
        <w:rPr>
          <w:rFonts w:hint="eastAsia" w:ascii="仿宋_GB2312" w:hAnsi="仿宋" w:eastAsia="仿宋_GB2312" w:cs="宋体"/>
          <w:b/>
          <w:bCs/>
          <w:color w:val="0000FF"/>
          <w:sz w:val="30"/>
          <w:szCs w:val="30"/>
        </w:rPr>
        <w:t>个人用户</w:t>
      </w:r>
      <w:r>
        <w:rPr>
          <w:rFonts w:hint="eastAsia" w:ascii="仿宋_GB2312" w:hAnsi="仿宋" w:eastAsia="仿宋_GB2312" w:cs="宋体"/>
          <w:sz w:val="30"/>
          <w:szCs w:val="30"/>
        </w:rPr>
        <w:t>”框下方的“</w:t>
      </w:r>
      <w:r>
        <w:rPr>
          <w:rFonts w:hint="eastAsia" w:ascii="仿宋_GB2312" w:hAnsi="仿宋" w:eastAsia="仿宋_GB2312" w:cs="宋体"/>
          <w:b/>
          <w:bCs/>
          <w:color w:val="0000FF"/>
          <w:sz w:val="30"/>
          <w:szCs w:val="30"/>
        </w:rPr>
        <w:t>注册</w:t>
      </w:r>
      <w:r>
        <w:rPr>
          <w:rFonts w:hint="eastAsia" w:ascii="仿宋_GB2312" w:hAnsi="仿宋" w:eastAsia="仿宋_GB2312" w:cs="宋体"/>
          <w:sz w:val="30"/>
          <w:szCs w:val="30"/>
        </w:rPr>
        <w:t>”，根据安徽政务服务网提示完成注册并登录。</w:t>
      </w:r>
    </w:p>
    <w:p>
      <w:pPr>
        <w:spacing w:line="520" w:lineRule="exact"/>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（三）注册时如政务网页面提示“</w:t>
      </w:r>
      <w:r>
        <w:rPr>
          <w:rFonts w:hint="eastAsia" w:ascii="仿宋_GB2312" w:hAnsi="仿宋" w:eastAsia="仿宋_GB2312" w:cs="宋体"/>
          <w:b/>
          <w:bCs/>
          <w:color w:val="0000FF"/>
          <w:sz w:val="30"/>
          <w:szCs w:val="30"/>
        </w:rPr>
        <w:t>该证件号码已注册,请直接登录</w:t>
      </w:r>
      <w:r>
        <w:rPr>
          <w:rFonts w:hint="eastAsia" w:ascii="仿宋_GB2312" w:hAnsi="仿宋" w:eastAsia="仿宋_GB2312" w:cs="宋体"/>
          <w:sz w:val="30"/>
          <w:szCs w:val="30"/>
        </w:rPr>
        <w:t>”可点击“忘记密码”重新找回账号密码并登录后，再打开继续教育管理平台完善信息和报名。</w:t>
      </w:r>
    </w:p>
    <w:p>
      <w:pPr>
        <w:spacing w:line="520" w:lineRule="exact"/>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（四）新注册账号、首次使用支付宝授权登录或重新找回政务网账号密码的用户，登录后页面显示为政务网个人中心，此时可重新打开继续教育管理平台。</w:t>
      </w:r>
    </w:p>
    <w:p>
      <w:pPr>
        <w:spacing w:line="520" w:lineRule="exact"/>
        <w:jc w:val="left"/>
        <w:rPr>
          <w:rFonts w:hint="eastAsia" w:ascii="黑体" w:hAnsi="黑体" w:eastAsia="黑体" w:cs="宋体"/>
          <w:b w:val="0"/>
          <w:bCs/>
          <w:sz w:val="30"/>
          <w:szCs w:val="30"/>
        </w:rPr>
      </w:pPr>
      <w:r>
        <w:rPr>
          <w:rFonts w:hint="eastAsia" w:ascii="仿宋_GB2312" w:hAnsi="仿宋" w:eastAsia="仿宋_GB2312" w:cs="宋体"/>
          <w:sz w:val="30"/>
          <w:szCs w:val="30"/>
        </w:rPr>
        <w:t xml:space="preserve">   </w:t>
      </w:r>
      <w:r>
        <w:rPr>
          <w:rFonts w:hint="eastAsia" w:ascii="黑体" w:hAnsi="黑体" w:eastAsia="黑体" w:cs="宋体"/>
          <w:sz w:val="30"/>
          <w:szCs w:val="30"/>
        </w:rPr>
        <w:t xml:space="preserve"> </w:t>
      </w:r>
      <w:r>
        <w:rPr>
          <w:rFonts w:hint="eastAsia" w:ascii="黑体" w:hAnsi="黑体" w:eastAsia="黑体" w:cs="宋体"/>
          <w:b w:val="0"/>
          <w:bCs/>
          <w:sz w:val="30"/>
          <w:szCs w:val="30"/>
        </w:rPr>
        <w:t>三、问：管理平台完善信息页面中各项信息如何填写？</w:t>
      </w:r>
    </w:p>
    <w:p>
      <w:pPr>
        <w:spacing w:line="520" w:lineRule="exact"/>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答：完善信息时标</w:t>
      </w:r>
      <w:r>
        <w:rPr>
          <w:rFonts w:hint="eastAsia" w:ascii="仿宋_GB2312" w:hAnsi="仿宋" w:eastAsia="仿宋_GB2312" w:cs="宋体"/>
          <w:color w:val="FF0000"/>
          <w:sz w:val="30"/>
          <w:szCs w:val="30"/>
        </w:rPr>
        <w:t>*</w:t>
      </w:r>
      <w:r>
        <w:rPr>
          <w:rFonts w:hint="eastAsia" w:ascii="仿宋_GB2312" w:hAnsi="仿宋" w:eastAsia="仿宋_GB2312" w:cs="宋体"/>
          <w:sz w:val="30"/>
          <w:szCs w:val="30"/>
        </w:rPr>
        <w:t>为必填，其他为选填。</w:t>
      </w:r>
    </w:p>
    <w:p>
      <w:pPr>
        <w:spacing w:line="520" w:lineRule="exact"/>
        <w:jc w:val="left"/>
        <w:rPr>
          <w:rFonts w:hint="eastAsia" w:ascii="仿宋_GB2312" w:hAnsi="仿宋" w:eastAsia="仿宋_GB2312" w:cs="宋体"/>
          <w:sz w:val="30"/>
          <w:szCs w:val="30"/>
        </w:rPr>
      </w:pPr>
      <w:r>
        <w:rPr>
          <w:rFonts w:hint="eastAsia" w:ascii="仿宋_GB2312" w:hAnsi="仿宋" w:eastAsia="仿宋_GB2312" w:cs="宋体"/>
          <w:sz w:val="30"/>
          <w:szCs w:val="30"/>
        </w:rPr>
        <w:t>证件照在完善信息时可先不填，但在打印培训证书前必须到个人信息中上传。</w:t>
      </w:r>
    </w:p>
    <w:p>
      <w:pPr>
        <w:spacing w:line="520" w:lineRule="exact"/>
        <w:ind w:firstLine="600" w:firstLineChars="200"/>
        <w:jc w:val="left"/>
        <w:rPr>
          <w:rFonts w:hint="eastAsia" w:ascii="仿宋_GB2312" w:eastAsia="仿宋_GB2312"/>
          <w:sz w:val="30"/>
          <w:szCs w:val="30"/>
        </w:rPr>
      </w:pPr>
      <w:r>
        <w:rPr>
          <w:rFonts w:hint="eastAsia" w:ascii="仿宋_GB2312" w:hAnsi="仿宋" w:eastAsia="仿宋_GB2312" w:cs="宋体"/>
          <w:sz w:val="30"/>
          <w:szCs w:val="30"/>
        </w:rPr>
        <w:t>为了规范单位名称，工作单位填写方式为搜索单位名称后选择单位填入。</w:t>
      </w:r>
    </w:p>
    <w:p>
      <w:pPr>
        <w:spacing w:line="360" w:lineRule="auto"/>
        <w:jc w:val="left"/>
      </w:pPr>
      <w:r>
        <w:drawing>
          <wp:inline distT="0" distB="0" distL="114300" distR="114300">
            <wp:extent cx="5478145" cy="2447290"/>
            <wp:effectExtent l="0" t="0" r="8255" b="10160"/>
            <wp:docPr id="1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5481952" cy="4093974"/>
                    </a:xfrm>
                    <a:prstGeom prst="rect">
                      <a:avLst/>
                    </a:prstGeom>
                    <a:noFill/>
                    <a:ln>
                      <a:noFill/>
                    </a:ln>
                    <a:effectLst/>
                  </pic:spPr>
                </pic:pic>
              </a:graphicData>
            </a:graphic>
          </wp:inline>
        </w:drawing>
      </w:r>
    </w:p>
    <w:p>
      <w:pPr>
        <w:spacing w:line="560" w:lineRule="exact"/>
        <w:rPr>
          <w:rFonts w:hint="eastAsia" w:ascii="黑体" w:hAnsi="黑体" w:eastAsia="黑体" w:cs="宋体"/>
          <w:b w:val="0"/>
          <w:bCs/>
          <w:sz w:val="30"/>
          <w:szCs w:val="30"/>
        </w:rPr>
      </w:pPr>
      <w:r>
        <w:rPr>
          <w:rFonts w:hint="eastAsia" w:ascii="仿宋_GB2312" w:hAnsi="仿宋" w:eastAsia="仿宋_GB2312" w:cs="宋体"/>
          <w:b/>
          <w:bCs/>
          <w:sz w:val="30"/>
          <w:szCs w:val="30"/>
        </w:rPr>
        <w:t xml:space="preserve">  </w:t>
      </w:r>
      <w:r>
        <w:rPr>
          <w:rFonts w:hint="eastAsia" w:ascii="黑体" w:hAnsi="黑体" w:eastAsia="黑体" w:cs="宋体"/>
          <w:b w:val="0"/>
          <w:bCs/>
          <w:sz w:val="30"/>
          <w:szCs w:val="30"/>
        </w:rPr>
        <w:t xml:space="preserve">  四、问：完善信息时，搜索不到单位如何处理？</w:t>
      </w:r>
    </w:p>
    <w:p>
      <w:pPr>
        <w:spacing w:line="560" w:lineRule="exact"/>
        <w:ind w:firstLine="600" w:firstLineChars="200"/>
        <w:rPr>
          <w:rFonts w:hint="eastAsia" w:ascii="仿宋_GB2312" w:hAnsi="仿宋" w:eastAsia="仿宋_GB2312" w:cs="宋体"/>
          <w:color w:val="FF0000"/>
          <w:spacing w:val="-8"/>
          <w:sz w:val="30"/>
          <w:szCs w:val="30"/>
        </w:rPr>
      </w:pPr>
      <w:r>
        <w:rPr>
          <w:rFonts w:hint="eastAsia" w:ascii="仿宋_GB2312" w:hAnsi="仿宋" w:eastAsia="仿宋_GB2312" w:cs="宋体"/>
          <w:sz w:val="30"/>
          <w:szCs w:val="30"/>
        </w:rPr>
        <w:t>答：</w:t>
      </w:r>
      <w:r>
        <w:rPr>
          <w:rFonts w:hint="eastAsia" w:ascii="仿宋_GB2312" w:hAnsi="仿宋" w:eastAsia="仿宋_GB2312" w:cs="宋体"/>
          <w:spacing w:val="-8"/>
          <w:sz w:val="30"/>
          <w:szCs w:val="30"/>
        </w:rPr>
        <w:t xml:space="preserve"> </w:t>
      </w:r>
      <w:r>
        <w:rPr>
          <w:rFonts w:hint="eastAsia" w:ascii="仿宋_GB2312" w:hAnsi="仿宋" w:eastAsia="仿宋_GB2312" w:cs="宋体"/>
          <w:color w:val="FF0000"/>
          <w:spacing w:val="-8"/>
          <w:sz w:val="30"/>
          <w:szCs w:val="30"/>
        </w:rPr>
        <w:t>若单位搜索不到，则需要专业技术人员提醒所在单位管理员操作如下：</w:t>
      </w:r>
    </w:p>
    <w:p>
      <w:pPr>
        <w:spacing w:line="560" w:lineRule="exact"/>
        <w:ind w:firstLine="536" w:firstLineChars="200"/>
        <w:rPr>
          <w:rFonts w:hint="eastAsia" w:ascii="仿宋_GB2312" w:hAnsi="仿宋" w:eastAsia="仿宋_GB2312" w:cs="仿宋"/>
          <w:sz w:val="30"/>
          <w:szCs w:val="30"/>
        </w:rPr>
      </w:pPr>
      <w:r>
        <w:rPr>
          <w:rFonts w:hint="eastAsia" w:ascii="仿宋_GB2312" w:hAnsi="仿宋" w:eastAsia="仿宋_GB2312" w:cs="仿宋"/>
          <w:color w:val="000000"/>
          <w:spacing w:val="-16"/>
          <w:sz w:val="30"/>
          <w:szCs w:val="30"/>
        </w:rPr>
        <w:t>第1步：</w:t>
      </w:r>
      <w:r>
        <w:rPr>
          <w:rFonts w:hint="eastAsia" w:ascii="仿宋_GB2312" w:hAnsi="仿宋" w:eastAsia="仿宋_GB2312" w:cs="仿宋"/>
          <w:spacing w:val="-16"/>
          <w:sz w:val="30"/>
          <w:szCs w:val="30"/>
        </w:rPr>
        <w:t>单位管理员在浏览器中输入网址：http://hrss.ah.gov.cn/ggfwwt</w:t>
      </w:r>
      <w:r>
        <w:rPr>
          <w:rFonts w:hint="eastAsia" w:ascii="仿宋_GB2312" w:hAnsi="仿宋" w:eastAsia="仿宋_GB2312" w:cs="仿宋"/>
          <w:sz w:val="30"/>
          <w:szCs w:val="30"/>
        </w:rPr>
        <w:t>（推荐使用360安全浏览器极速模式），进入安徽省人力资源和社会 保障厅网上办事大厅。</w:t>
      </w:r>
    </w:p>
    <w:p>
      <w:pPr>
        <w:spacing w:line="560" w:lineRule="exact"/>
        <w:ind w:firstLine="600" w:firstLineChars="200"/>
        <w:rPr>
          <w:rFonts w:hint="eastAsia" w:ascii="仿宋_GB2312" w:hAnsi="仿宋" w:eastAsia="仿宋_GB2312" w:cs="仿宋"/>
          <w:sz w:val="30"/>
          <w:szCs w:val="30"/>
        </w:rPr>
      </w:pPr>
      <w:r>
        <w:rPr>
          <w:rFonts w:hint="eastAsia" w:ascii="仿宋_GB2312" w:hAnsi="仿宋" w:eastAsia="仿宋_GB2312" w:cs="仿宋"/>
          <w:color w:val="000000"/>
          <w:sz w:val="30"/>
          <w:szCs w:val="30"/>
        </w:rPr>
        <w:t>第2步：</w:t>
      </w:r>
      <w:r>
        <w:rPr>
          <w:rFonts w:hint="eastAsia" w:ascii="仿宋_GB2312" w:hAnsi="仿宋" w:eastAsia="仿宋_GB2312" w:cs="仿宋"/>
          <w:sz w:val="30"/>
          <w:szCs w:val="30"/>
        </w:rPr>
        <w:t>点击“</w:t>
      </w:r>
      <w:r>
        <w:rPr>
          <w:rFonts w:hint="eastAsia" w:ascii="仿宋_GB2312" w:hAnsi="仿宋" w:eastAsia="仿宋_GB2312" w:cs="宋体"/>
          <w:b/>
          <w:bCs/>
          <w:color w:val="0000FF"/>
          <w:sz w:val="30"/>
          <w:szCs w:val="30"/>
        </w:rPr>
        <w:t>专业技术人员综合服务</w:t>
      </w:r>
      <w:r>
        <w:rPr>
          <w:rFonts w:hint="eastAsia" w:ascii="仿宋_GB2312" w:hAnsi="仿宋" w:eastAsia="仿宋_GB2312" w:cs="仿宋"/>
          <w:sz w:val="30"/>
          <w:szCs w:val="30"/>
        </w:rPr>
        <w:t>——</w:t>
      </w:r>
      <w:r>
        <w:rPr>
          <w:rFonts w:hint="eastAsia" w:ascii="仿宋_GB2312" w:hAnsi="仿宋" w:eastAsia="仿宋_GB2312" w:cs="宋体"/>
          <w:b/>
          <w:bCs/>
          <w:color w:val="0000FF"/>
          <w:sz w:val="30"/>
          <w:szCs w:val="30"/>
        </w:rPr>
        <w:t>高层次人才项目申报</w:t>
      </w:r>
      <w:r>
        <w:rPr>
          <w:rFonts w:hint="eastAsia" w:ascii="仿宋_GB2312" w:hAnsi="仿宋" w:eastAsia="仿宋_GB2312" w:cs="仿宋"/>
          <w:sz w:val="30"/>
          <w:szCs w:val="30"/>
        </w:rPr>
        <w:t>”，进入</w:t>
      </w:r>
      <w:r>
        <w:rPr>
          <w:rFonts w:hint="eastAsia" w:ascii="仿宋_GB2312" w:hAnsi="仿宋" w:eastAsia="仿宋_GB2312" w:cs="宋体"/>
          <w:b/>
          <w:bCs/>
          <w:color w:val="0000FF"/>
          <w:sz w:val="30"/>
          <w:szCs w:val="30"/>
        </w:rPr>
        <w:t>安徽省专业技术人员综合管理服务平台</w:t>
      </w:r>
      <w:r>
        <w:rPr>
          <w:rFonts w:hint="eastAsia" w:ascii="仿宋_GB2312" w:hAnsi="仿宋" w:eastAsia="仿宋_GB2312" w:cs="仿宋"/>
          <w:sz w:val="30"/>
          <w:szCs w:val="30"/>
        </w:rPr>
        <w:t>，选择“政务网登录”下方的“</w:t>
      </w:r>
      <w:r>
        <w:rPr>
          <w:rFonts w:hint="eastAsia" w:ascii="仿宋_GB2312" w:hAnsi="仿宋" w:eastAsia="仿宋_GB2312" w:cs="宋体"/>
          <w:b/>
          <w:bCs/>
          <w:color w:val="0000FF"/>
          <w:sz w:val="30"/>
          <w:szCs w:val="30"/>
        </w:rPr>
        <w:t>单位登录</w:t>
      </w:r>
      <w:r>
        <w:rPr>
          <w:rFonts w:hint="eastAsia" w:ascii="仿宋_GB2312" w:hAnsi="仿宋" w:eastAsia="仿宋_GB2312" w:cs="仿宋"/>
          <w:sz w:val="30"/>
          <w:szCs w:val="30"/>
        </w:rPr>
        <w:t>”，使用安徽政务服务网</w:t>
      </w:r>
      <w:r>
        <w:rPr>
          <w:rFonts w:hint="eastAsia" w:ascii="仿宋_GB2312" w:hAnsi="仿宋" w:eastAsia="仿宋_GB2312" w:cs="宋体"/>
          <w:b/>
          <w:bCs/>
          <w:color w:val="0000FF"/>
          <w:sz w:val="30"/>
          <w:szCs w:val="30"/>
        </w:rPr>
        <w:t>法人用户</w:t>
      </w:r>
      <w:r>
        <w:rPr>
          <w:rFonts w:hint="eastAsia" w:ascii="仿宋_GB2312" w:hAnsi="仿宋" w:eastAsia="仿宋_GB2312" w:cs="仿宋"/>
          <w:sz w:val="30"/>
          <w:szCs w:val="30"/>
        </w:rPr>
        <w:t>账号进行登录。</w:t>
      </w:r>
    </w:p>
    <w:p>
      <w:pPr>
        <w:spacing w:line="560" w:lineRule="exact"/>
        <w:ind w:firstLine="600" w:firstLineChars="200"/>
        <w:rPr>
          <w:rFonts w:hint="eastAsia" w:ascii="仿宋_GB2312" w:hAnsi="仿宋" w:eastAsia="仿宋_GB2312" w:cs="仿宋"/>
          <w:sz w:val="30"/>
          <w:szCs w:val="30"/>
        </w:rPr>
      </w:pPr>
      <w:r>
        <w:rPr>
          <w:rFonts w:hint="eastAsia" w:ascii="仿宋_GB2312" w:hAnsi="仿宋" w:eastAsia="仿宋_GB2312" w:cs="仿宋"/>
          <w:sz w:val="30"/>
          <w:szCs w:val="30"/>
        </w:rPr>
        <w:t>第3步：登录后进入安徽省专业技术人员综合管理服务平台，单位管理员需要完善单位信息并提交。</w:t>
      </w:r>
      <w:r>
        <w:rPr>
          <w:rFonts w:hint="eastAsia" w:ascii="仿宋_GB2312" w:hAnsi="仿宋" w:eastAsia="仿宋_GB2312" w:cs="宋体"/>
          <w:sz w:val="30"/>
          <w:szCs w:val="30"/>
          <w:lang w:bidi="ar"/>
        </w:rPr>
        <w:t>此后，学员在继续教育管理平台完善个人信息时即可搜索到该单位。</w:t>
      </w:r>
    </w:p>
    <w:p>
      <w:pPr>
        <w:spacing w:line="360" w:lineRule="auto"/>
      </w:pPr>
      <w:r>
        <w:drawing>
          <wp:inline distT="0" distB="0" distL="114300" distR="114300">
            <wp:extent cx="5274310" cy="3723005"/>
            <wp:effectExtent l="0" t="0" r="2540" b="10795"/>
            <wp:docPr id="9"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2"/>
                    <pic:cNvPicPr>
                      <a:picLocks noChangeAspect="1"/>
                    </pic:cNvPicPr>
                  </pic:nvPicPr>
                  <pic:blipFill>
                    <a:blip r:embed="rId10"/>
                    <a:stretch>
                      <a:fillRect/>
                    </a:stretch>
                  </pic:blipFill>
                  <pic:spPr>
                    <a:xfrm>
                      <a:off x="0" y="0"/>
                      <a:ext cx="5274310" cy="3133725"/>
                    </a:xfrm>
                    <a:prstGeom prst="rect">
                      <a:avLst/>
                    </a:prstGeom>
                    <a:noFill/>
                    <a:ln>
                      <a:noFill/>
                    </a:ln>
                    <a:effectLst/>
                  </pic:spPr>
                </pic:pic>
              </a:graphicData>
            </a:graphic>
          </wp:inline>
        </w:drawing>
      </w:r>
    </w:p>
    <w:p>
      <w:pPr>
        <w:spacing w:line="360" w:lineRule="auto"/>
      </w:pPr>
      <w:r>
        <w:drawing>
          <wp:inline distT="0" distB="0" distL="114300" distR="114300">
            <wp:extent cx="5274310" cy="2543175"/>
            <wp:effectExtent l="0" t="0" r="2540" b="9525"/>
            <wp:docPr id="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2"/>
                    <pic:cNvPicPr>
                      <a:picLocks noChangeAspect="1"/>
                    </pic:cNvPicPr>
                  </pic:nvPicPr>
                  <pic:blipFill>
                    <a:blip r:embed="rId11"/>
                    <a:stretch>
                      <a:fillRect/>
                    </a:stretch>
                  </pic:blipFill>
                  <pic:spPr>
                    <a:xfrm>
                      <a:off x="0" y="0"/>
                      <a:ext cx="5274310" cy="2543175"/>
                    </a:xfrm>
                    <a:prstGeom prst="rect">
                      <a:avLst/>
                    </a:prstGeom>
                    <a:noFill/>
                    <a:ln w="9525">
                      <a:noFill/>
                    </a:ln>
                    <a:effectLst/>
                  </pic:spPr>
                </pic:pic>
              </a:graphicData>
            </a:graphic>
          </wp:inline>
        </w:drawing>
      </w:r>
    </w:p>
    <w:p>
      <w:pPr>
        <w:spacing w:line="360" w:lineRule="auto"/>
      </w:pPr>
      <w:r>
        <w:drawing>
          <wp:inline distT="0" distB="0" distL="114300" distR="114300">
            <wp:extent cx="5274310" cy="2913380"/>
            <wp:effectExtent l="0" t="0" r="2540" b="127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pic:cNvPicPr>
                  </pic:nvPicPr>
                  <pic:blipFill>
                    <a:blip r:embed="rId12"/>
                    <a:stretch>
                      <a:fillRect/>
                    </a:stretch>
                  </pic:blipFill>
                  <pic:spPr>
                    <a:xfrm>
                      <a:off x="0" y="0"/>
                      <a:ext cx="5274310" cy="2548890"/>
                    </a:xfrm>
                    <a:prstGeom prst="rect">
                      <a:avLst/>
                    </a:prstGeom>
                    <a:noFill/>
                    <a:ln w="9525">
                      <a:noFill/>
                    </a:ln>
                    <a:effectLst/>
                  </pic:spPr>
                </pic:pic>
              </a:graphicData>
            </a:graphic>
          </wp:inline>
        </w:drawing>
      </w:r>
    </w:p>
    <w:p>
      <w:pPr>
        <w:spacing w:line="360" w:lineRule="auto"/>
      </w:pPr>
      <w:r>
        <w:drawing>
          <wp:inline distT="0" distB="0" distL="114300" distR="114300">
            <wp:extent cx="5273040" cy="2381250"/>
            <wp:effectExtent l="0" t="0" r="3810" b="0"/>
            <wp:docPr id="1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
                    <pic:cNvPicPr>
                      <a:picLocks noChangeAspect="1"/>
                    </pic:cNvPicPr>
                  </pic:nvPicPr>
                  <pic:blipFill>
                    <a:blip r:embed="rId13"/>
                    <a:stretch>
                      <a:fillRect/>
                    </a:stretch>
                  </pic:blipFill>
                  <pic:spPr>
                    <a:xfrm>
                      <a:off x="0" y="0"/>
                      <a:ext cx="5273040" cy="4330700"/>
                    </a:xfrm>
                    <a:prstGeom prst="rect">
                      <a:avLst/>
                    </a:prstGeom>
                    <a:noFill/>
                    <a:ln>
                      <a:noFill/>
                    </a:ln>
                    <a:effectLst/>
                  </pic:spPr>
                </pic:pic>
              </a:graphicData>
            </a:graphic>
          </wp:inline>
        </w:drawing>
      </w:r>
    </w:p>
    <w:p>
      <w:pPr>
        <w:spacing w:line="580" w:lineRule="exact"/>
        <w:rPr>
          <w:rFonts w:hint="eastAsia" w:ascii="仿宋_GB2312" w:hAnsi="仿宋" w:eastAsia="仿宋_GB2312" w:cs="宋体"/>
          <w:sz w:val="30"/>
          <w:szCs w:val="30"/>
          <w:lang w:bidi="ar"/>
        </w:rPr>
      </w:pPr>
      <w:r>
        <w:rPr>
          <w:rFonts w:hint="eastAsia" w:ascii="仿宋_GB2312" w:hAnsi="仿宋" w:eastAsia="仿宋_GB2312" w:cs="宋体"/>
          <w:sz w:val="30"/>
          <w:szCs w:val="30"/>
          <w:lang w:bidi="ar"/>
        </w:rPr>
        <w:t>请注意：</w:t>
      </w:r>
    </w:p>
    <w:p>
      <w:pPr>
        <w:spacing w:line="580" w:lineRule="exact"/>
        <w:ind w:firstLine="600" w:firstLineChars="200"/>
        <w:rPr>
          <w:rFonts w:hint="eastAsia" w:ascii="仿宋_GB2312" w:hAnsi="仿宋" w:eastAsia="仿宋_GB2312" w:cs="宋体"/>
          <w:b/>
          <w:bCs/>
          <w:color w:val="0000FF"/>
          <w:sz w:val="30"/>
          <w:szCs w:val="30"/>
        </w:rPr>
      </w:pPr>
      <w:r>
        <w:rPr>
          <w:rFonts w:hint="eastAsia" w:ascii="仿宋_GB2312" w:hAnsi="仿宋" w:eastAsia="仿宋_GB2312" w:cs="宋体"/>
          <w:sz w:val="30"/>
          <w:szCs w:val="30"/>
          <w:lang w:bidi="ar"/>
        </w:rPr>
        <w:t>（一）若用人单位没有安徽政务服务网法人用户，则需要点击法人用户登录框下方“注册”按钮，根据页面提示注册相应法人用户；</w:t>
      </w:r>
    </w:p>
    <w:p>
      <w:pPr>
        <w:spacing w:line="580" w:lineRule="exact"/>
        <w:ind w:firstLine="600" w:firstLineChars="200"/>
        <w:rPr>
          <w:rFonts w:hint="eastAsia" w:ascii="仿宋_GB2312" w:hAnsi="仿宋" w:eastAsia="仿宋_GB2312" w:cs="宋体"/>
          <w:sz w:val="30"/>
          <w:szCs w:val="30"/>
          <w:lang w:bidi="ar"/>
        </w:rPr>
      </w:pPr>
      <w:r>
        <w:rPr>
          <w:rFonts w:hint="eastAsia" w:ascii="仿宋_GB2312" w:hAnsi="仿宋" w:eastAsia="仿宋_GB2312" w:cs="宋体"/>
          <w:sz w:val="30"/>
          <w:szCs w:val="30"/>
          <w:lang w:bidi="ar"/>
        </w:rPr>
        <w:t>（二）单位登录</w:t>
      </w:r>
      <w:r>
        <w:rPr>
          <w:rFonts w:hint="eastAsia" w:ascii="仿宋_GB2312" w:hAnsi="仿宋" w:eastAsia="仿宋_GB2312" w:cs="宋体"/>
          <w:sz w:val="30"/>
          <w:szCs w:val="30"/>
        </w:rPr>
        <w:t>安徽政务服务网</w:t>
      </w:r>
      <w:r>
        <w:rPr>
          <w:rFonts w:hint="eastAsia" w:ascii="仿宋_GB2312" w:hAnsi="仿宋" w:eastAsia="仿宋_GB2312" w:cs="宋体"/>
          <w:b/>
          <w:bCs/>
          <w:color w:val="0000FF"/>
          <w:sz w:val="30"/>
          <w:szCs w:val="30"/>
        </w:rPr>
        <w:t>法人用户</w:t>
      </w:r>
      <w:r>
        <w:rPr>
          <w:rFonts w:hint="eastAsia" w:ascii="仿宋_GB2312" w:hAnsi="仿宋" w:eastAsia="仿宋_GB2312" w:cs="宋体"/>
          <w:sz w:val="30"/>
          <w:szCs w:val="30"/>
          <w:lang w:bidi="ar"/>
        </w:rPr>
        <w:t>后，会自动跳转进入安徽省专业技术人员综合管理服务平台。若未跳转，请登录法人用户后，再次打开网上办事大厅</w:t>
      </w:r>
      <w:r>
        <w:rPr>
          <w:rFonts w:hint="eastAsia" w:ascii="仿宋_GB2312" w:hAnsi="仿宋" w:eastAsia="仿宋_GB2312" w:cs="宋体"/>
          <w:sz w:val="30"/>
          <w:szCs w:val="30"/>
        </w:rPr>
        <w:t>（http://hrss.ah.gov.cn/ggfwwt）</w:t>
      </w:r>
      <w:r>
        <w:rPr>
          <w:rFonts w:hint="eastAsia" w:ascii="仿宋_GB2312" w:hAnsi="仿宋" w:eastAsia="仿宋_GB2312" w:cs="宋体"/>
          <w:sz w:val="30"/>
          <w:szCs w:val="30"/>
          <w:lang w:bidi="ar"/>
        </w:rPr>
        <w:t>“</w:t>
      </w:r>
      <w:r>
        <w:rPr>
          <w:rFonts w:hint="eastAsia" w:ascii="仿宋_GB2312" w:hAnsi="仿宋" w:eastAsia="仿宋_GB2312" w:cs="宋体"/>
          <w:b/>
          <w:bCs/>
          <w:color w:val="0000FF"/>
          <w:sz w:val="30"/>
          <w:szCs w:val="30"/>
          <w:lang w:bidi="ar"/>
        </w:rPr>
        <w:t>专业技术人员综合服务——高层次人才项目申报</w:t>
      </w:r>
      <w:r>
        <w:rPr>
          <w:rFonts w:hint="eastAsia" w:ascii="仿宋_GB2312" w:hAnsi="仿宋" w:eastAsia="仿宋_GB2312" w:cs="宋体"/>
          <w:sz w:val="30"/>
          <w:szCs w:val="30"/>
          <w:lang w:bidi="ar"/>
        </w:rPr>
        <w:t>”，点击</w:t>
      </w:r>
      <w:r>
        <w:rPr>
          <w:rFonts w:hint="eastAsia" w:ascii="仿宋_GB2312" w:hAnsi="仿宋" w:eastAsia="仿宋_GB2312" w:cs="宋体"/>
          <w:b/>
          <w:bCs/>
          <w:color w:val="0000FF"/>
          <w:sz w:val="30"/>
          <w:szCs w:val="30"/>
          <w:lang w:bidi="ar"/>
        </w:rPr>
        <w:t>单位登录</w:t>
      </w:r>
      <w:r>
        <w:rPr>
          <w:rFonts w:hint="eastAsia" w:ascii="仿宋_GB2312" w:hAnsi="仿宋" w:eastAsia="仿宋_GB2312" w:cs="宋体"/>
          <w:sz w:val="30"/>
          <w:szCs w:val="30"/>
          <w:lang w:bidi="ar"/>
        </w:rPr>
        <w:t>。</w:t>
      </w:r>
    </w:p>
    <w:p>
      <w:pPr>
        <w:spacing w:line="580" w:lineRule="exact"/>
        <w:ind w:firstLine="600" w:firstLineChars="200"/>
        <w:rPr>
          <w:rFonts w:hint="eastAsia" w:ascii="仿宋_GB2312" w:hAnsi="仿宋" w:eastAsia="仿宋_GB2312" w:cs="宋体"/>
          <w:sz w:val="30"/>
          <w:szCs w:val="30"/>
          <w:lang w:bidi="ar"/>
        </w:rPr>
      </w:pPr>
      <w:r>
        <w:rPr>
          <w:rFonts w:hint="eastAsia" w:ascii="仿宋_GB2312" w:hAnsi="仿宋" w:eastAsia="仿宋_GB2312" w:cs="宋体"/>
          <w:sz w:val="30"/>
          <w:szCs w:val="30"/>
          <w:lang w:bidi="ar"/>
        </w:rPr>
        <w:t>（三）单位进入安徽省专业技术人员综合管理服务平台后，需要完善单位信息并提交。</w:t>
      </w:r>
    </w:p>
    <w:p>
      <w:pPr>
        <w:spacing w:line="580" w:lineRule="exact"/>
        <w:ind w:firstLine="600" w:firstLineChars="200"/>
        <w:rPr>
          <w:rFonts w:hint="eastAsia" w:ascii="仿宋_GB2312" w:hAnsi="仿宋" w:eastAsia="仿宋_GB2312" w:cs="宋体"/>
          <w:sz w:val="30"/>
          <w:szCs w:val="30"/>
          <w:lang w:bidi="ar"/>
        </w:rPr>
      </w:pPr>
      <w:r>
        <w:rPr>
          <w:rFonts w:hint="eastAsia" w:ascii="仿宋_GB2312" w:hAnsi="仿宋" w:eastAsia="仿宋_GB2312" w:cs="宋体"/>
          <w:sz w:val="30"/>
          <w:szCs w:val="30"/>
          <w:lang w:bidi="ar"/>
        </w:rPr>
        <w:t>（四）完成单位信息提交后，学员即可在继续教育管理平台完善个人信息时搜索到该单位。</w:t>
      </w:r>
    </w:p>
    <w:p>
      <w:pPr>
        <w:spacing w:line="580" w:lineRule="exact"/>
        <w:rPr>
          <w:rFonts w:hint="eastAsia" w:ascii="黑体" w:hAnsi="黑体" w:eastAsia="黑体" w:cs="宋体"/>
          <w:b w:val="0"/>
          <w:bCs/>
          <w:sz w:val="30"/>
          <w:szCs w:val="30"/>
        </w:rPr>
      </w:pPr>
      <w:r>
        <w:rPr>
          <w:rFonts w:hint="eastAsia" w:ascii="仿宋_GB2312" w:hAnsi="仿宋" w:eastAsia="仿宋_GB2312" w:cs="宋体"/>
          <w:b/>
          <w:bCs/>
          <w:sz w:val="30"/>
          <w:szCs w:val="30"/>
        </w:rPr>
        <w:t xml:space="preserve">   </w:t>
      </w:r>
      <w:r>
        <w:rPr>
          <w:rFonts w:hint="eastAsia" w:ascii="黑体" w:hAnsi="黑体" w:eastAsia="黑体" w:cs="宋体"/>
          <w:b w:val="0"/>
          <w:bCs/>
          <w:sz w:val="30"/>
          <w:szCs w:val="30"/>
        </w:rPr>
        <w:t xml:space="preserve"> 五、问：2021年度继续教育公需课有哪些专题？</w:t>
      </w:r>
    </w:p>
    <w:p>
      <w:pPr>
        <w:spacing w:line="580" w:lineRule="exact"/>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w:t>
      </w:r>
    </w:p>
    <w:tbl>
      <w:tblPr>
        <w:tblStyle w:val="5"/>
        <w:tblW w:w="8079" w:type="dxa"/>
        <w:tblInd w:w="534" w:type="dxa"/>
        <w:tblLayout w:type="fixed"/>
        <w:tblCellMar>
          <w:top w:w="0" w:type="dxa"/>
          <w:left w:w="108" w:type="dxa"/>
          <w:bottom w:w="0" w:type="dxa"/>
          <w:right w:w="108" w:type="dxa"/>
        </w:tblCellMar>
      </w:tblPr>
      <w:tblGrid>
        <w:gridCol w:w="3543"/>
        <w:gridCol w:w="4536"/>
      </w:tblGrid>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b/>
                <w:bCs/>
                <w:color w:val="000000"/>
                <w:sz w:val="18"/>
                <w:szCs w:val="18"/>
              </w:rPr>
            </w:pPr>
            <w:r>
              <w:rPr>
                <w:rFonts w:hint="eastAsia" w:ascii="宋体" w:hAnsi="宋体" w:eastAsia="宋体" w:cs="宋体"/>
                <w:b/>
                <w:bCs/>
                <w:color w:val="000000"/>
                <w:kern w:val="0"/>
                <w:sz w:val="18"/>
                <w:szCs w:val="18"/>
              </w:rPr>
              <w:t>培训单位</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b/>
                <w:bCs/>
                <w:color w:val="000000"/>
                <w:sz w:val="18"/>
                <w:szCs w:val="18"/>
              </w:rPr>
            </w:pPr>
            <w:r>
              <w:rPr>
                <w:rFonts w:hint="eastAsia" w:ascii="宋体" w:hAnsi="宋体" w:eastAsia="宋体" w:cs="宋体"/>
                <w:b/>
                <w:bCs/>
                <w:color w:val="000000"/>
                <w:kern w:val="0"/>
                <w:sz w:val="18"/>
                <w:szCs w:val="18"/>
              </w:rPr>
              <w:t>公需课专题</w:t>
            </w:r>
          </w:p>
        </w:tc>
      </w:tr>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合肥宏景软件公司</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“十四五”大战略与</w:t>
            </w:r>
            <w:r>
              <w:rPr>
                <w:rFonts w:ascii="宋体" w:hAnsi="宋体" w:eastAsia="宋体" w:cs="宋体"/>
                <w:color w:val="000000"/>
                <w:kern w:val="0"/>
                <w:sz w:val="18"/>
                <w:szCs w:val="18"/>
              </w:rPr>
              <w:t>2035远景目标</w:t>
            </w:r>
          </w:p>
        </w:tc>
      </w:tr>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安徽开放大学</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党的十九届五中全会暨十四五规划建议</w:t>
            </w:r>
          </w:p>
        </w:tc>
      </w:tr>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政和科技股份有限公司</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长三角一体化高质量发展及乡村振兴战略</w:t>
            </w:r>
          </w:p>
        </w:tc>
      </w:tr>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北京思想天下教育科技有限公司</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奋力开启新阶段现代化美好安徽建设新征程</w:t>
            </w:r>
          </w:p>
        </w:tc>
      </w:tr>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北京创联教育投资有限公司</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农业科技发展</w:t>
            </w:r>
          </w:p>
        </w:tc>
      </w:tr>
      <w:tr>
        <w:tblPrEx>
          <w:tblCellMar>
            <w:top w:w="0" w:type="dxa"/>
            <w:left w:w="108" w:type="dxa"/>
            <w:bottom w:w="0" w:type="dxa"/>
            <w:right w:w="108" w:type="dxa"/>
          </w:tblCellMar>
        </w:tblPrEx>
        <w:trPr>
          <w:trHeight w:val="340" w:hRule="atLeast"/>
        </w:trPr>
        <w:tc>
          <w:tcPr>
            <w:tcW w:w="3543"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安徽冠成教育科技有限公司</w:t>
            </w:r>
          </w:p>
        </w:tc>
        <w:tc>
          <w:tcPr>
            <w:tcW w:w="4536"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kern w:val="0"/>
                <w:sz w:val="18"/>
                <w:szCs w:val="18"/>
              </w:rPr>
            </w:pPr>
            <w:r>
              <w:rPr>
                <w:rFonts w:hint="eastAsia" w:ascii="宋体" w:hAnsi="宋体" w:eastAsia="宋体" w:cs="宋体"/>
                <w:color w:val="000000"/>
                <w:kern w:val="0"/>
                <w:sz w:val="18"/>
                <w:szCs w:val="18"/>
              </w:rPr>
              <w:t>区块链技术与应用</w:t>
            </w:r>
          </w:p>
        </w:tc>
      </w:tr>
    </w:tbl>
    <w:p>
      <w:pPr>
        <w:spacing w:line="580" w:lineRule="exact"/>
        <w:jc w:val="left"/>
        <w:rPr>
          <w:rFonts w:hint="eastAsia" w:ascii="黑体" w:hAnsi="黑体" w:eastAsia="黑体" w:cs="宋体"/>
          <w:b w:val="0"/>
          <w:bCs/>
          <w:sz w:val="30"/>
          <w:szCs w:val="30"/>
        </w:rPr>
      </w:pPr>
      <w:r>
        <w:rPr>
          <w:rFonts w:hint="eastAsia" w:ascii="黑体" w:hAnsi="黑体" w:eastAsia="黑体" w:cs="宋体"/>
          <w:b w:val="0"/>
          <w:bCs/>
          <w:sz w:val="30"/>
          <w:szCs w:val="30"/>
        </w:rPr>
        <w:t>六、问：继续教育管理平台报名成功后如何缴费学习？</w:t>
      </w:r>
    </w:p>
    <w:p>
      <w:pPr>
        <w:spacing w:line="580" w:lineRule="exact"/>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答：继续教育管理平台报名后，点击报名记录中对应专题的“</w:t>
      </w:r>
      <w:r>
        <w:rPr>
          <w:rFonts w:hint="eastAsia" w:ascii="仿宋_GB2312" w:hAnsi="仿宋" w:eastAsia="仿宋_GB2312" w:cs="宋体"/>
          <w:b/>
          <w:bCs/>
          <w:color w:val="0000FF"/>
          <w:sz w:val="30"/>
          <w:szCs w:val="30"/>
        </w:rPr>
        <w:t>去缴费</w:t>
      </w:r>
      <w:r>
        <w:rPr>
          <w:rFonts w:hint="eastAsia" w:ascii="仿宋_GB2312" w:hAnsi="仿宋" w:eastAsia="仿宋_GB2312" w:cs="宋体"/>
          <w:sz w:val="30"/>
          <w:szCs w:val="30"/>
        </w:rPr>
        <w:t>”按钮，即可到培训平台缴费学习。培训平台缴费学习流程根据各培训平台而定，前往培训平台后可根据培训平台指引操作。如图所示：</w:t>
      </w:r>
    </w:p>
    <w:p>
      <w:pPr>
        <w:spacing w:line="360" w:lineRule="auto"/>
        <w:rPr>
          <w:rFonts w:ascii="仿宋" w:hAnsi="仿宋" w:eastAsia="仿宋"/>
          <w:sz w:val="24"/>
          <w:szCs w:val="24"/>
        </w:rPr>
      </w:pPr>
      <w:r>
        <w:rPr>
          <w:rFonts w:ascii="仿宋" w:hAnsi="仿宋" w:eastAsia="仿宋"/>
          <w:sz w:val="24"/>
          <w:szCs w:val="24"/>
        </w:rPr>
        <w:drawing>
          <wp:inline distT="0" distB="0" distL="114300" distR="114300">
            <wp:extent cx="5257800" cy="2265045"/>
            <wp:effectExtent l="0" t="0" r="0" b="190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r:embed="rId14"/>
                    <a:stretch>
                      <a:fillRect/>
                    </a:stretch>
                  </pic:blipFill>
                  <pic:spPr>
                    <a:xfrm>
                      <a:off x="0" y="0"/>
                      <a:ext cx="5262616" cy="2163638"/>
                    </a:xfrm>
                    <a:prstGeom prst="rect">
                      <a:avLst/>
                    </a:prstGeom>
                    <a:noFill/>
                    <a:ln>
                      <a:noFill/>
                    </a:ln>
                    <a:effectLst/>
                  </pic:spPr>
                </pic:pic>
              </a:graphicData>
            </a:graphic>
          </wp:inline>
        </w:drawing>
      </w:r>
    </w:p>
    <w:p>
      <w:pPr>
        <w:spacing w:line="360" w:lineRule="auto"/>
        <w:ind w:firstLine="600" w:firstLineChars="200"/>
        <w:rPr>
          <w:rFonts w:hint="eastAsia" w:ascii="仿宋_GB2312" w:hAnsi="仿宋" w:eastAsia="仿宋_GB2312"/>
          <w:sz w:val="30"/>
          <w:szCs w:val="30"/>
        </w:rPr>
      </w:pPr>
      <w:r>
        <w:rPr>
          <w:rFonts w:hint="eastAsia" w:ascii="仿宋_GB2312" w:hAnsi="仿宋" w:eastAsia="仿宋_GB2312"/>
          <w:sz w:val="30"/>
          <w:szCs w:val="30"/>
        </w:rPr>
        <w:t>缴费后，学员可查看继续教育管理平台报名记录中对应的专题，点击“</w:t>
      </w:r>
      <w:r>
        <w:rPr>
          <w:rFonts w:hint="eastAsia" w:ascii="仿宋_GB2312" w:hAnsi="仿宋" w:eastAsia="仿宋_GB2312" w:cs="宋体"/>
          <w:b/>
          <w:bCs/>
          <w:color w:val="0000FF"/>
          <w:sz w:val="30"/>
          <w:szCs w:val="30"/>
        </w:rPr>
        <w:t>去学习</w:t>
      </w:r>
      <w:r>
        <w:rPr>
          <w:rFonts w:hint="eastAsia" w:ascii="仿宋_GB2312" w:hAnsi="仿宋" w:eastAsia="仿宋_GB2312"/>
          <w:sz w:val="30"/>
          <w:szCs w:val="30"/>
        </w:rPr>
        <w:t>”，可到培训平台学习，或在缴费后直接登录培训平台进行学习。如图所示：</w:t>
      </w:r>
    </w:p>
    <w:p>
      <w:pPr>
        <w:spacing w:line="360" w:lineRule="auto"/>
        <w:rPr>
          <w:rFonts w:ascii="仿宋" w:hAnsi="仿宋" w:eastAsia="仿宋" w:cs="宋体"/>
          <w:sz w:val="24"/>
          <w:szCs w:val="24"/>
        </w:rPr>
      </w:pPr>
      <w:r>
        <w:rPr>
          <w:rFonts w:ascii="仿宋" w:hAnsi="仿宋" w:eastAsia="仿宋"/>
          <w:sz w:val="24"/>
          <w:szCs w:val="24"/>
        </w:rPr>
        <w:drawing>
          <wp:inline distT="0" distB="0" distL="114300" distR="114300">
            <wp:extent cx="5266690" cy="1917065"/>
            <wp:effectExtent l="0" t="0" r="10160" b="6985"/>
            <wp:docPr id="1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pic:cNvPicPr>
                      <a:picLocks noChangeAspect="1"/>
                    </pic:cNvPicPr>
                  </pic:nvPicPr>
                  <pic:blipFill>
                    <a:blip r:embed="rId15"/>
                    <a:stretch>
                      <a:fillRect/>
                    </a:stretch>
                  </pic:blipFill>
                  <pic:spPr>
                    <a:xfrm>
                      <a:off x="0" y="0"/>
                      <a:ext cx="5266690" cy="1917065"/>
                    </a:xfrm>
                    <a:prstGeom prst="rect">
                      <a:avLst/>
                    </a:prstGeom>
                    <a:noFill/>
                    <a:ln>
                      <a:noFill/>
                    </a:ln>
                    <a:effectLst/>
                  </pic:spPr>
                </pic:pic>
              </a:graphicData>
            </a:graphic>
          </wp:inline>
        </w:drawing>
      </w:r>
    </w:p>
    <w:p>
      <w:pPr>
        <w:spacing w:line="560" w:lineRule="exact"/>
        <w:jc w:val="both"/>
        <w:rPr>
          <w:rFonts w:hint="eastAsia" w:ascii="黑体" w:hAnsi="黑体" w:eastAsia="黑体" w:cs="宋体"/>
          <w:b w:val="0"/>
          <w:bCs/>
          <w:sz w:val="30"/>
          <w:szCs w:val="30"/>
        </w:rPr>
      </w:pPr>
      <w:r>
        <w:rPr>
          <w:rFonts w:hint="eastAsia" w:ascii="仿宋_GB2312" w:hAnsi="仿宋" w:eastAsia="仿宋_GB2312" w:cs="宋体"/>
          <w:b/>
          <w:bCs/>
          <w:sz w:val="30"/>
          <w:szCs w:val="30"/>
        </w:rPr>
        <w:t xml:space="preserve">  </w:t>
      </w:r>
      <w:r>
        <w:rPr>
          <w:rFonts w:hint="eastAsia" w:ascii="黑体" w:hAnsi="黑体" w:eastAsia="黑体" w:cs="宋体"/>
          <w:b w:val="0"/>
          <w:bCs/>
          <w:sz w:val="30"/>
          <w:szCs w:val="30"/>
        </w:rPr>
        <w:t xml:space="preserve">  七、问：培训平台如何打印2021年度公需课培训证书？</w:t>
      </w:r>
    </w:p>
    <w:p>
      <w:pPr>
        <w:spacing w:line="560" w:lineRule="exact"/>
        <w:ind w:firstLine="600" w:firstLineChars="200"/>
        <w:jc w:val="both"/>
        <w:rPr>
          <w:rFonts w:hint="eastAsia" w:ascii="仿宋_GB2312" w:hAnsi="仿宋" w:eastAsia="仿宋_GB2312" w:cs="宋体"/>
          <w:sz w:val="30"/>
          <w:szCs w:val="30"/>
        </w:rPr>
      </w:pPr>
      <w:r>
        <w:rPr>
          <w:rFonts w:hint="eastAsia" w:ascii="仿宋_GB2312" w:hAnsi="仿宋" w:eastAsia="仿宋_GB2312" w:cs="宋体"/>
          <w:sz w:val="30"/>
          <w:szCs w:val="30"/>
        </w:rPr>
        <w:t>答：根据主管单位要求，2021年度公需课培训证书统一到继续教育管理平台查看和下载电子证书，培训平台不提供2021年公需课培训证书。</w:t>
      </w:r>
    </w:p>
    <w:p>
      <w:pPr>
        <w:spacing w:line="560" w:lineRule="exact"/>
        <w:ind w:firstLine="600" w:firstLineChars="200"/>
        <w:jc w:val="both"/>
        <w:rPr>
          <w:rFonts w:hint="eastAsia" w:ascii="仿宋_GB2312" w:hAnsi="仿宋" w:eastAsia="仿宋_GB2312" w:cs="宋体"/>
          <w:sz w:val="30"/>
          <w:szCs w:val="30"/>
        </w:rPr>
      </w:pPr>
      <w:r>
        <w:rPr>
          <w:rFonts w:hint="eastAsia" w:ascii="仿宋_GB2312" w:hAnsi="仿宋" w:eastAsia="仿宋_GB2312" w:cs="宋体"/>
          <w:sz w:val="30"/>
          <w:szCs w:val="30"/>
        </w:rPr>
        <w:t>学员在培训平台考试合格后，登录管理平台或点击培训平台中的培训证明，根据提示返回管理平台，进入继续教育管理平台“培训档案”，查看或下载安徽省统一公需课电子证书。如图所示：</w:t>
      </w:r>
    </w:p>
    <w:p>
      <w:pPr>
        <w:spacing w:line="360" w:lineRule="auto"/>
        <w:jc w:val="left"/>
        <w:rPr>
          <w:rFonts w:ascii="仿宋" w:hAnsi="仿宋" w:eastAsia="仿宋"/>
          <w:sz w:val="24"/>
          <w:szCs w:val="24"/>
        </w:rPr>
      </w:pPr>
      <w:r>
        <w:rPr>
          <w:rFonts w:ascii="仿宋" w:hAnsi="仿宋" w:eastAsia="仿宋"/>
          <w:sz w:val="24"/>
          <w:szCs w:val="24"/>
        </w:rPr>
        <w:drawing>
          <wp:inline distT="0" distB="0" distL="114300" distR="114300">
            <wp:extent cx="5266690" cy="2028190"/>
            <wp:effectExtent l="0" t="0" r="10160" b="10160"/>
            <wp:docPr id="1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4"/>
                    <pic:cNvPicPr>
                      <a:picLocks noChangeAspect="1"/>
                    </pic:cNvPicPr>
                  </pic:nvPicPr>
                  <pic:blipFill>
                    <a:blip r:embed="rId16"/>
                    <a:stretch>
                      <a:fillRect/>
                    </a:stretch>
                  </pic:blipFill>
                  <pic:spPr>
                    <a:xfrm>
                      <a:off x="0" y="0"/>
                      <a:ext cx="5266690" cy="1453515"/>
                    </a:xfrm>
                    <a:prstGeom prst="rect">
                      <a:avLst/>
                    </a:prstGeom>
                    <a:noFill/>
                    <a:ln>
                      <a:noFill/>
                    </a:ln>
                    <a:effectLst/>
                  </pic:spPr>
                </pic:pic>
              </a:graphicData>
            </a:graphic>
          </wp:inline>
        </w:drawing>
      </w:r>
    </w:p>
    <w:p>
      <w:pPr>
        <w:spacing w:line="360" w:lineRule="auto"/>
        <w:ind w:firstLine="594" w:firstLineChars="198"/>
        <w:jc w:val="left"/>
        <w:rPr>
          <w:rFonts w:hint="eastAsia" w:ascii="黑体" w:hAnsi="黑体" w:eastAsia="黑体" w:cs="宋体"/>
          <w:b w:val="0"/>
          <w:bCs/>
          <w:sz w:val="30"/>
          <w:szCs w:val="30"/>
        </w:rPr>
      </w:pPr>
      <w:r>
        <w:rPr>
          <w:rFonts w:hint="eastAsia" w:ascii="黑体" w:hAnsi="黑体" w:eastAsia="黑体" w:cs="宋体"/>
          <w:b w:val="0"/>
          <w:bCs/>
          <w:sz w:val="30"/>
          <w:szCs w:val="30"/>
        </w:rPr>
        <w:t>八、问：如何在继续教育管理平台报名学习专业科目？</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答：目前继续教育管理平台只针对2021年度公需课报名学习，专业课的报名学习请查阅安徽省人社厅继续教育培训通知中关于专业课培训的说明。</w:t>
      </w:r>
    </w:p>
    <w:p>
      <w:pPr>
        <w:spacing w:line="360" w:lineRule="auto"/>
        <w:jc w:val="left"/>
        <w:rPr>
          <w:rFonts w:hint="eastAsia" w:ascii="黑体" w:hAnsi="黑体" w:eastAsia="黑体" w:cs="宋体"/>
          <w:b w:val="0"/>
          <w:bCs/>
          <w:sz w:val="30"/>
          <w:szCs w:val="30"/>
        </w:rPr>
      </w:pPr>
      <w:r>
        <w:rPr>
          <w:rFonts w:hint="eastAsia" w:ascii="仿宋_GB2312" w:hAnsi="仿宋" w:eastAsia="仿宋_GB2312" w:cs="宋体"/>
          <w:sz w:val="30"/>
          <w:szCs w:val="30"/>
        </w:rPr>
        <w:t xml:space="preserve">    </w:t>
      </w:r>
      <w:r>
        <w:rPr>
          <w:rFonts w:hint="eastAsia" w:ascii="黑体" w:hAnsi="黑体" w:eastAsia="黑体" w:cs="宋体"/>
          <w:b w:val="0"/>
          <w:bCs/>
          <w:sz w:val="30"/>
          <w:szCs w:val="30"/>
        </w:rPr>
        <w:t>九、问：专业科目的学习是否能在六个培训平台上学习?</w:t>
      </w:r>
    </w:p>
    <w:p>
      <w:pPr>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答：专业科目学习由行业主管部门具体组织实施，可咨询您所在的行业主管部门确认。</w:t>
      </w:r>
    </w:p>
    <w:p>
      <w:pPr>
        <w:spacing w:line="360" w:lineRule="auto"/>
        <w:jc w:val="left"/>
        <w:rPr>
          <w:rFonts w:hint="eastAsia" w:ascii="黑体" w:hAnsi="黑体" w:eastAsia="黑体" w:cs="宋体"/>
          <w:b w:val="0"/>
          <w:bCs w:val="0"/>
          <w:sz w:val="30"/>
          <w:szCs w:val="30"/>
        </w:rPr>
      </w:pPr>
      <w:r>
        <w:rPr>
          <w:rFonts w:hint="eastAsia" w:ascii="仿宋_GB2312" w:hAnsi="仿宋" w:eastAsia="仿宋_GB2312" w:cs="宋体"/>
          <w:sz w:val="30"/>
          <w:szCs w:val="30"/>
        </w:rPr>
        <w:t xml:space="preserve">    </w:t>
      </w:r>
      <w:r>
        <w:rPr>
          <w:rFonts w:hint="eastAsia" w:ascii="黑体" w:hAnsi="黑体" w:eastAsia="黑体" w:cs="宋体"/>
          <w:b w:val="0"/>
          <w:bCs w:val="0"/>
          <w:sz w:val="30"/>
          <w:szCs w:val="30"/>
        </w:rPr>
        <w:t>十、问：公需科目直接在培训平台报名缴费后即可学习吗？</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答：2021年度继续教育公需课在培训学习之前，必须到安徽省专业技术人员继续教育管理平台报名公需课专题。</w:t>
      </w:r>
    </w:p>
    <w:p>
      <w:pPr>
        <w:spacing w:line="360" w:lineRule="auto"/>
        <w:jc w:val="left"/>
        <w:rPr>
          <w:rFonts w:hint="eastAsia" w:ascii="黑体" w:hAnsi="黑体" w:eastAsia="黑体" w:cs="宋体"/>
          <w:b w:val="0"/>
          <w:bCs w:val="0"/>
          <w:sz w:val="30"/>
          <w:szCs w:val="30"/>
        </w:rPr>
      </w:pPr>
      <w:r>
        <w:rPr>
          <w:rFonts w:hint="eastAsia" w:ascii="仿宋_GB2312" w:hAnsi="仿宋" w:eastAsia="仿宋_GB2312"/>
          <w:sz w:val="30"/>
          <w:szCs w:val="30"/>
        </w:rPr>
        <w:t xml:space="preserve">    </w:t>
      </w:r>
      <w:r>
        <w:rPr>
          <w:rFonts w:hint="eastAsia" w:ascii="黑体" w:hAnsi="黑体" w:eastAsia="黑体" w:cs="宋体"/>
          <w:b w:val="0"/>
          <w:bCs w:val="0"/>
          <w:sz w:val="30"/>
          <w:szCs w:val="30"/>
        </w:rPr>
        <w:t>十一、问：政务网账号登录后，无法自动进入管理平台。</w:t>
      </w:r>
    </w:p>
    <w:p>
      <w:pPr>
        <w:spacing w:line="360" w:lineRule="auto"/>
        <w:ind w:firstLine="600" w:firstLineChars="200"/>
        <w:jc w:val="left"/>
        <w:rPr>
          <w:rFonts w:hint="eastAsia" w:ascii="仿宋_GB2312" w:hAnsi="仿宋" w:eastAsia="仿宋_GB2312"/>
          <w:sz w:val="30"/>
          <w:szCs w:val="30"/>
        </w:rPr>
      </w:pPr>
      <w:r>
        <w:rPr>
          <w:rFonts w:hint="eastAsia" w:ascii="仿宋_GB2312" w:hAnsi="仿宋" w:eastAsia="仿宋_GB2312"/>
          <w:sz w:val="30"/>
          <w:szCs w:val="30"/>
        </w:rPr>
        <w:t>答：政务网账号有多个登录入口，若已登录，可</w:t>
      </w:r>
      <w:r>
        <w:rPr>
          <w:rFonts w:hint="eastAsia" w:ascii="仿宋_GB2312" w:hAnsi="仿宋" w:eastAsia="仿宋_GB2312" w:cs="宋体"/>
          <w:sz w:val="30"/>
          <w:szCs w:val="30"/>
        </w:rPr>
        <w:t>直接打开网上办事大厅网址（http://hrss.ah.gov.cn/ggfwwt），从“专业技术人员综合服务——继续教育官方入口”进入继续教育管理平台</w:t>
      </w:r>
      <w:r>
        <w:rPr>
          <w:rFonts w:hint="eastAsia" w:ascii="仿宋_GB2312" w:hAnsi="仿宋" w:eastAsia="仿宋_GB2312"/>
          <w:sz w:val="30"/>
          <w:szCs w:val="30"/>
        </w:rPr>
        <w:t>，通过点击</w:t>
      </w:r>
      <w:r>
        <w:rPr>
          <w:rFonts w:hint="eastAsia" w:ascii="仿宋_GB2312" w:hAnsi="仿宋" w:eastAsia="仿宋_GB2312" w:cs="宋体"/>
          <w:sz w:val="30"/>
          <w:szCs w:val="30"/>
        </w:rPr>
        <w:t>“</w:t>
      </w:r>
      <w:r>
        <w:rPr>
          <w:rFonts w:hint="eastAsia" w:ascii="仿宋_GB2312" w:hAnsi="仿宋" w:eastAsia="仿宋_GB2312" w:cs="宋体"/>
          <w:b/>
          <w:bCs/>
          <w:color w:val="0000FF"/>
          <w:sz w:val="30"/>
          <w:szCs w:val="30"/>
        </w:rPr>
        <w:t>点击前往安徽政务服务网</w:t>
      </w:r>
      <w:r>
        <w:rPr>
          <w:rFonts w:hint="eastAsia" w:ascii="仿宋_GB2312" w:hAnsi="仿宋" w:eastAsia="仿宋_GB2312" w:cs="宋体"/>
          <w:sz w:val="30"/>
          <w:szCs w:val="30"/>
        </w:rPr>
        <w:t>”按钮，</w:t>
      </w:r>
      <w:r>
        <w:rPr>
          <w:rFonts w:hint="eastAsia" w:ascii="仿宋_GB2312" w:hAnsi="仿宋" w:eastAsia="仿宋_GB2312"/>
          <w:sz w:val="30"/>
          <w:szCs w:val="30"/>
        </w:rPr>
        <w:t>即可自动获取政务网登录状态并进入继续教育管理平台。</w:t>
      </w:r>
    </w:p>
    <w:p>
      <w:pPr>
        <w:spacing w:line="360" w:lineRule="auto"/>
        <w:jc w:val="left"/>
        <w:rPr>
          <w:rFonts w:hint="eastAsia" w:ascii="黑体" w:hAnsi="黑体" w:eastAsia="黑体" w:cs="宋体"/>
          <w:b w:val="0"/>
          <w:bCs w:val="0"/>
          <w:sz w:val="30"/>
          <w:szCs w:val="30"/>
        </w:rPr>
      </w:pPr>
      <w:r>
        <w:rPr>
          <w:rFonts w:hint="eastAsia" w:ascii="仿宋_GB2312" w:hAnsi="仿宋" w:eastAsia="仿宋_GB2312"/>
          <w:sz w:val="30"/>
          <w:szCs w:val="30"/>
        </w:rPr>
        <w:t xml:space="preserve">    </w:t>
      </w:r>
      <w:r>
        <w:rPr>
          <w:rFonts w:hint="eastAsia" w:ascii="黑体" w:hAnsi="黑体" w:eastAsia="黑体" w:cs="宋体"/>
          <w:b w:val="0"/>
          <w:bCs w:val="0"/>
          <w:sz w:val="30"/>
          <w:szCs w:val="30"/>
        </w:rPr>
        <w:t>十二、问：如何进行集体报名？</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答：培训平台若提供集体报名服务，有集体报名需求的单位即可联系相应的培训平台。</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注意：2021年度公需课必须在继续教育管理平台报名公需课专题后，方可进入培训平台学习，集体报名开通的学员，需要在管理平台选择相应专题报名。</w:t>
      </w:r>
    </w:p>
    <w:p>
      <w:pPr>
        <w:spacing w:line="360" w:lineRule="auto"/>
        <w:jc w:val="left"/>
        <w:rPr>
          <w:rFonts w:hint="eastAsia" w:ascii="黑体" w:hAnsi="黑体" w:eastAsia="黑体" w:cs="宋体"/>
          <w:b w:val="0"/>
          <w:bCs w:val="0"/>
          <w:sz w:val="30"/>
          <w:szCs w:val="30"/>
        </w:rPr>
      </w:pPr>
      <w:r>
        <w:rPr>
          <w:rFonts w:hint="eastAsia" w:ascii="仿宋_GB2312" w:hAnsi="仿宋" w:eastAsia="仿宋_GB2312" w:cs="宋体"/>
          <w:sz w:val="30"/>
          <w:szCs w:val="30"/>
        </w:rPr>
        <w:t xml:space="preserve">   </w:t>
      </w:r>
      <w:r>
        <w:rPr>
          <w:rFonts w:hint="eastAsia" w:ascii="黑体" w:hAnsi="黑体" w:eastAsia="黑体" w:cs="宋体"/>
          <w:sz w:val="30"/>
          <w:szCs w:val="30"/>
        </w:rPr>
        <w:t xml:space="preserve"> </w:t>
      </w:r>
      <w:r>
        <w:rPr>
          <w:rFonts w:hint="eastAsia" w:ascii="黑体" w:hAnsi="黑体" w:eastAsia="黑体" w:cs="宋体"/>
          <w:b w:val="0"/>
          <w:bCs w:val="0"/>
          <w:sz w:val="30"/>
          <w:szCs w:val="30"/>
        </w:rPr>
        <w:t>十三、问：报名学习课程使用什么浏览器？</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答：360安全浏览器或谷歌浏览器。</w:t>
      </w:r>
    </w:p>
    <w:p>
      <w:pPr>
        <w:spacing w:line="360" w:lineRule="auto"/>
        <w:jc w:val="left"/>
        <w:rPr>
          <w:rFonts w:hint="eastAsia" w:ascii="黑体" w:hAnsi="黑体" w:eastAsia="黑体" w:cs="宋体"/>
          <w:b w:val="0"/>
          <w:bCs w:val="0"/>
          <w:sz w:val="30"/>
          <w:szCs w:val="30"/>
        </w:rPr>
      </w:pPr>
      <w:r>
        <w:rPr>
          <w:rFonts w:hint="eastAsia" w:ascii="仿宋_GB2312" w:hAnsi="仿宋" w:eastAsia="仿宋_GB2312" w:cs="宋体"/>
          <w:sz w:val="30"/>
          <w:szCs w:val="30"/>
        </w:rPr>
        <w:t xml:space="preserve">  </w:t>
      </w:r>
      <w:r>
        <w:rPr>
          <w:rFonts w:hint="eastAsia" w:ascii="黑体" w:hAnsi="黑体" w:eastAsia="黑体" w:cs="宋体"/>
          <w:sz w:val="30"/>
          <w:szCs w:val="30"/>
        </w:rPr>
        <w:t xml:space="preserve">  </w:t>
      </w:r>
      <w:r>
        <w:rPr>
          <w:rFonts w:hint="eastAsia" w:ascii="黑体" w:hAnsi="黑体" w:eastAsia="黑体" w:cs="宋体"/>
          <w:b w:val="0"/>
          <w:bCs w:val="0"/>
          <w:sz w:val="30"/>
          <w:szCs w:val="30"/>
        </w:rPr>
        <w:t>十四、问：缴费后如何获取发票？</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答：因继续教育培训的费用是各个培训平台自行收费，若需发票，请缴费时按照平台提示填写开票信息，等待培训平台开具电子发票，或联系对应的培训平台客服索要发票。</w:t>
      </w:r>
    </w:p>
    <w:p>
      <w:pPr>
        <w:spacing w:line="360" w:lineRule="auto"/>
        <w:jc w:val="left"/>
        <w:rPr>
          <w:rFonts w:hint="eastAsia" w:ascii="黑体" w:hAnsi="黑体" w:eastAsia="黑体" w:cs="宋体"/>
          <w:b w:val="0"/>
          <w:bCs w:val="0"/>
          <w:sz w:val="30"/>
          <w:szCs w:val="30"/>
        </w:rPr>
      </w:pPr>
      <w:r>
        <w:rPr>
          <w:rFonts w:hint="eastAsia" w:ascii="仿宋_GB2312" w:hAnsi="仿宋" w:eastAsia="仿宋_GB2312" w:cs="宋体"/>
          <w:sz w:val="30"/>
          <w:szCs w:val="30"/>
        </w:rPr>
        <w:t xml:space="preserve">   </w:t>
      </w:r>
      <w:r>
        <w:rPr>
          <w:rFonts w:hint="eastAsia" w:ascii="黑体" w:hAnsi="黑体" w:eastAsia="黑体" w:cs="宋体"/>
          <w:sz w:val="30"/>
          <w:szCs w:val="30"/>
        </w:rPr>
        <w:t xml:space="preserve"> </w:t>
      </w:r>
      <w:r>
        <w:rPr>
          <w:rFonts w:hint="eastAsia" w:ascii="黑体" w:hAnsi="黑体" w:eastAsia="黑体" w:cs="宋体"/>
          <w:b w:val="0"/>
          <w:bCs w:val="0"/>
          <w:sz w:val="30"/>
          <w:szCs w:val="30"/>
        </w:rPr>
        <w:t>十五、问：各培训平台网址和客服电话是什么？</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 xml:space="preserve">答： </w:t>
      </w:r>
    </w:p>
    <w:tbl>
      <w:tblPr>
        <w:tblStyle w:val="5"/>
        <w:tblW w:w="9072" w:type="dxa"/>
        <w:tblInd w:w="250" w:type="dxa"/>
        <w:tblLayout w:type="fixed"/>
        <w:tblCellMar>
          <w:top w:w="0" w:type="dxa"/>
          <w:left w:w="108" w:type="dxa"/>
          <w:bottom w:w="0" w:type="dxa"/>
          <w:right w:w="108" w:type="dxa"/>
        </w:tblCellMar>
      </w:tblPr>
      <w:tblGrid>
        <w:gridCol w:w="3827"/>
        <w:gridCol w:w="2650"/>
        <w:gridCol w:w="2595"/>
      </w:tblGrid>
      <w:tr>
        <w:tblPrEx>
          <w:tblCellMar>
            <w:top w:w="0" w:type="dxa"/>
            <w:left w:w="108" w:type="dxa"/>
            <w:bottom w:w="0" w:type="dxa"/>
            <w:right w:w="108" w:type="dxa"/>
          </w:tblCellMar>
        </w:tblPrEx>
        <w:trPr>
          <w:trHeight w:val="478"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b/>
                <w:bCs/>
                <w:color w:val="000000"/>
                <w:sz w:val="18"/>
                <w:szCs w:val="18"/>
              </w:rPr>
            </w:pPr>
            <w:r>
              <w:rPr>
                <w:rFonts w:hint="eastAsia" w:ascii="宋体" w:hAnsi="宋体" w:eastAsia="宋体" w:cs="宋体"/>
                <w:b/>
                <w:bCs/>
                <w:color w:val="000000"/>
                <w:kern w:val="0"/>
                <w:sz w:val="18"/>
                <w:szCs w:val="18"/>
              </w:rPr>
              <w:t>公需课专题</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b/>
                <w:bCs/>
                <w:color w:val="000000"/>
                <w:sz w:val="18"/>
                <w:szCs w:val="18"/>
              </w:rPr>
            </w:pPr>
            <w:r>
              <w:rPr>
                <w:rFonts w:hint="eastAsia" w:ascii="宋体" w:hAnsi="宋体" w:eastAsia="宋体" w:cs="宋体"/>
                <w:b/>
                <w:bCs/>
                <w:color w:val="000000"/>
                <w:kern w:val="0"/>
                <w:sz w:val="18"/>
                <w:szCs w:val="18"/>
              </w:rPr>
              <w:t>学习网址</w:t>
            </w:r>
          </w:p>
        </w:tc>
        <w:tc>
          <w:tcPr>
            <w:tcW w:w="259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b/>
                <w:bCs/>
                <w:color w:val="000000"/>
                <w:sz w:val="18"/>
                <w:szCs w:val="18"/>
              </w:rPr>
            </w:pPr>
            <w:r>
              <w:rPr>
                <w:rFonts w:hint="eastAsia" w:ascii="宋体" w:hAnsi="宋体" w:eastAsia="宋体" w:cs="宋体"/>
                <w:b/>
                <w:bCs/>
                <w:color w:val="000000"/>
                <w:kern w:val="0"/>
                <w:sz w:val="18"/>
                <w:szCs w:val="18"/>
              </w:rPr>
              <w:t>客服咨询电话</w:t>
            </w:r>
          </w:p>
        </w:tc>
      </w:tr>
      <w:tr>
        <w:tblPrEx>
          <w:tblCellMar>
            <w:top w:w="0" w:type="dxa"/>
            <w:left w:w="108" w:type="dxa"/>
            <w:bottom w:w="0" w:type="dxa"/>
            <w:right w:w="108" w:type="dxa"/>
          </w:tblCellMar>
        </w:tblPrEx>
        <w:trPr>
          <w:trHeight w:val="454"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“十四五”大战略与</w:t>
            </w:r>
            <w:r>
              <w:rPr>
                <w:rFonts w:ascii="宋体" w:hAnsi="宋体" w:eastAsia="宋体" w:cs="宋体"/>
                <w:color w:val="000000"/>
                <w:kern w:val="0"/>
                <w:sz w:val="18"/>
                <w:szCs w:val="18"/>
              </w:rPr>
              <w:t>2035远景目标</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https://jxjy.ahhjsoft.com</w:t>
            </w:r>
          </w:p>
        </w:tc>
        <w:tc>
          <w:tcPr>
            <w:tcW w:w="259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0551-63632001/63632006</w:t>
            </w:r>
          </w:p>
        </w:tc>
      </w:tr>
      <w:tr>
        <w:tblPrEx>
          <w:tblCellMar>
            <w:top w:w="0" w:type="dxa"/>
            <w:left w:w="108" w:type="dxa"/>
            <w:bottom w:w="0" w:type="dxa"/>
            <w:right w:w="108" w:type="dxa"/>
          </w:tblCellMar>
        </w:tblPrEx>
        <w:trPr>
          <w:trHeight w:val="454"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党的十九届五中全会暨十四五规划建议</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http://www.zjzx.ah.cn</w:t>
            </w:r>
          </w:p>
        </w:tc>
        <w:tc>
          <w:tcPr>
            <w:tcW w:w="2595"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eastAsia="宋体" w:cs="宋体"/>
                <w:color w:val="000000"/>
                <w:sz w:val="18"/>
                <w:szCs w:val="18"/>
              </w:rPr>
            </w:pPr>
            <w:r>
              <w:rPr>
                <w:rFonts w:ascii="宋体" w:hAnsi="宋体" w:eastAsia="宋体" w:cs="宋体"/>
                <w:color w:val="000000"/>
                <w:sz w:val="18"/>
                <w:szCs w:val="18"/>
              </w:rPr>
              <w:t>0551-63658409/63671543</w:t>
            </w:r>
          </w:p>
        </w:tc>
      </w:tr>
      <w:tr>
        <w:tblPrEx>
          <w:tblCellMar>
            <w:top w:w="0" w:type="dxa"/>
            <w:left w:w="108" w:type="dxa"/>
            <w:bottom w:w="0" w:type="dxa"/>
            <w:right w:w="108" w:type="dxa"/>
          </w:tblCellMar>
        </w:tblPrEx>
        <w:trPr>
          <w:trHeight w:val="454"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长三角一体化高质量发展及乡村振兴战略</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http://ah.zhuanjipx.com</w:t>
            </w:r>
          </w:p>
        </w:tc>
        <w:tc>
          <w:tcPr>
            <w:tcW w:w="2595"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eastAsia="宋体" w:cs="宋体"/>
                <w:color w:val="000000"/>
                <w:sz w:val="18"/>
                <w:szCs w:val="18"/>
              </w:rPr>
            </w:pPr>
            <w:r>
              <w:rPr>
                <w:rFonts w:ascii="宋体" w:hAnsi="宋体" w:eastAsia="宋体" w:cs="宋体"/>
                <w:color w:val="000000"/>
                <w:sz w:val="18"/>
                <w:szCs w:val="18"/>
              </w:rPr>
              <w:t>4000977789/0531-59519517</w:t>
            </w:r>
          </w:p>
        </w:tc>
      </w:tr>
      <w:tr>
        <w:tblPrEx>
          <w:tblCellMar>
            <w:top w:w="0" w:type="dxa"/>
            <w:left w:w="108" w:type="dxa"/>
            <w:bottom w:w="0" w:type="dxa"/>
            <w:right w:w="108" w:type="dxa"/>
          </w:tblCellMar>
        </w:tblPrEx>
        <w:trPr>
          <w:trHeight w:val="454"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奋力开启新阶段现代化美好安徽建设新征程</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https://anhuizj.zgzjzj.com</w:t>
            </w:r>
          </w:p>
        </w:tc>
        <w:tc>
          <w:tcPr>
            <w:tcW w:w="2595" w:type="dxa"/>
            <w:tcBorders>
              <w:top w:val="single" w:color="000000" w:sz="4" w:space="0"/>
              <w:left w:val="single" w:color="000000" w:sz="4" w:space="0"/>
              <w:bottom w:val="single" w:color="000000" w:sz="4" w:space="0"/>
              <w:right w:val="single" w:color="000000" w:sz="4" w:space="0"/>
            </w:tcBorders>
            <w:vAlign w:val="center"/>
          </w:tcPr>
          <w:p>
            <w:pPr>
              <w:jc w:val="center"/>
              <w:rPr>
                <w:rFonts w:ascii="宋体" w:hAnsi="宋体" w:eastAsia="宋体" w:cs="宋体"/>
                <w:color w:val="000000"/>
                <w:sz w:val="18"/>
                <w:szCs w:val="18"/>
              </w:rPr>
            </w:pPr>
            <w:r>
              <w:rPr>
                <w:rFonts w:ascii="宋体" w:hAnsi="宋体" w:eastAsia="宋体" w:cs="宋体"/>
                <w:color w:val="000000"/>
                <w:sz w:val="18"/>
                <w:szCs w:val="18"/>
              </w:rPr>
              <w:t>4008434678/4000434678</w:t>
            </w:r>
          </w:p>
        </w:tc>
      </w:tr>
      <w:tr>
        <w:tblPrEx>
          <w:tblCellMar>
            <w:top w:w="0" w:type="dxa"/>
            <w:left w:w="108" w:type="dxa"/>
            <w:bottom w:w="0" w:type="dxa"/>
            <w:right w:w="108" w:type="dxa"/>
          </w:tblCellMar>
        </w:tblPrEx>
        <w:trPr>
          <w:trHeight w:val="454"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农业科技发展</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http://anhui.chinahrt.com</w:t>
            </w:r>
          </w:p>
        </w:tc>
        <w:tc>
          <w:tcPr>
            <w:tcW w:w="259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4006520666</w:t>
            </w:r>
          </w:p>
        </w:tc>
      </w:tr>
      <w:tr>
        <w:tblPrEx>
          <w:tblCellMar>
            <w:top w:w="0" w:type="dxa"/>
            <w:left w:w="108" w:type="dxa"/>
            <w:bottom w:w="0" w:type="dxa"/>
            <w:right w:w="108" w:type="dxa"/>
          </w:tblCellMar>
        </w:tblPrEx>
        <w:trPr>
          <w:trHeight w:val="454" w:hRule="exact"/>
        </w:trPr>
        <w:tc>
          <w:tcPr>
            <w:tcW w:w="3827"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hint="eastAsia" w:ascii="宋体" w:hAnsi="宋体" w:eastAsia="宋体" w:cs="宋体"/>
                <w:color w:val="000000"/>
                <w:kern w:val="0"/>
                <w:sz w:val="18"/>
                <w:szCs w:val="18"/>
              </w:rPr>
              <w:t>区块链技术与应用</w:t>
            </w:r>
          </w:p>
        </w:tc>
        <w:tc>
          <w:tcPr>
            <w:tcW w:w="2650"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www.ahsjxjy.com</w:t>
            </w:r>
          </w:p>
        </w:tc>
        <w:tc>
          <w:tcPr>
            <w:tcW w:w="2595" w:type="dxa"/>
            <w:tcBorders>
              <w:top w:val="single" w:color="000000" w:sz="4" w:space="0"/>
              <w:left w:val="single" w:color="000000" w:sz="4" w:space="0"/>
              <w:bottom w:val="single" w:color="000000" w:sz="4" w:space="0"/>
              <w:right w:val="single" w:color="000000" w:sz="4" w:space="0"/>
            </w:tcBorders>
            <w:vAlign w:val="center"/>
          </w:tcPr>
          <w:p>
            <w:pPr>
              <w:widowControl/>
              <w:jc w:val="center"/>
              <w:textAlignment w:val="center"/>
              <w:rPr>
                <w:rFonts w:ascii="宋体" w:hAnsi="宋体" w:eastAsia="宋体" w:cs="宋体"/>
                <w:color w:val="000000"/>
                <w:sz w:val="18"/>
                <w:szCs w:val="18"/>
              </w:rPr>
            </w:pPr>
            <w:r>
              <w:rPr>
                <w:rFonts w:ascii="宋体" w:hAnsi="宋体" w:eastAsia="宋体" w:cs="宋体"/>
                <w:color w:val="000000"/>
                <w:kern w:val="0"/>
                <w:sz w:val="18"/>
                <w:szCs w:val="18"/>
              </w:rPr>
              <w:t>4008816822</w:t>
            </w:r>
          </w:p>
        </w:tc>
      </w:tr>
    </w:tbl>
    <w:p>
      <w:pPr>
        <w:spacing w:line="360" w:lineRule="auto"/>
        <w:ind w:firstLine="600" w:firstLineChars="200"/>
        <w:jc w:val="left"/>
        <w:rPr>
          <w:rFonts w:ascii="黑体" w:hAnsi="黑体" w:eastAsia="黑体" w:cs="宋体"/>
          <w:b w:val="0"/>
          <w:bCs w:val="0"/>
          <w:sz w:val="30"/>
          <w:szCs w:val="30"/>
        </w:rPr>
      </w:pPr>
      <w:r>
        <w:rPr>
          <w:rFonts w:hint="eastAsia" w:ascii="黑体" w:hAnsi="黑体" w:eastAsia="黑体" w:cs="宋体"/>
          <w:b w:val="0"/>
          <w:bCs w:val="0"/>
          <w:sz w:val="30"/>
          <w:szCs w:val="30"/>
        </w:rPr>
        <w:t>十六、问：考试不合格是否可以补考？</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答：成绩≥60分为合格，如考试成绩没有达到60分，可再次考试，通过为止，考试通过后不能再考。详情请咨询各培训平台客服。</w:t>
      </w:r>
    </w:p>
    <w:p>
      <w:pPr>
        <w:spacing w:line="360" w:lineRule="auto"/>
        <w:jc w:val="left"/>
        <w:rPr>
          <w:rFonts w:ascii="黑体" w:hAnsi="黑体" w:eastAsia="黑体" w:cs="宋体"/>
          <w:b w:val="0"/>
          <w:bCs w:val="0"/>
          <w:sz w:val="30"/>
          <w:szCs w:val="30"/>
        </w:rPr>
      </w:pPr>
      <w:r>
        <w:rPr>
          <w:rFonts w:hint="eastAsia" w:ascii="仿宋" w:hAnsi="仿宋" w:eastAsia="仿宋" w:cs="宋体"/>
          <w:sz w:val="24"/>
          <w:szCs w:val="24"/>
        </w:rPr>
        <w:t xml:space="preserve">     </w:t>
      </w:r>
      <w:r>
        <w:rPr>
          <w:rFonts w:hint="eastAsia" w:ascii="黑体" w:hAnsi="黑体" w:eastAsia="黑体" w:cs="宋体"/>
          <w:b w:val="0"/>
          <w:bCs w:val="0"/>
          <w:sz w:val="30"/>
          <w:szCs w:val="30"/>
        </w:rPr>
        <w:t>十七、问：继续教育公需课</w:t>
      </w:r>
      <w:r>
        <w:rPr>
          <w:rFonts w:ascii="黑体" w:hAnsi="黑体" w:eastAsia="黑体" w:cs="宋体"/>
          <w:b w:val="0"/>
          <w:bCs w:val="0"/>
          <w:sz w:val="30"/>
          <w:szCs w:val="30"/>
        </w:rPr>
        <w:t>2021年能报几个专题？</w:t>
      </w:r>
    </w:p>
    <w:p>
      <w:pPr>
        <w:spacing w:line="360" w:lineRule="auto"/>
        <w:ind w:firstLine="600" w:firstLineChars="200"/>
        <w:jc w:val="left"/>
        <w:rPr>
          <w:rFonts w:hint="eastAsia" w:ascii="仿宋_GB2312" w:hAnsi="仿宋" w:eastAsia="仿宋_GB2312" w:cs="仿宋"/>
          <w:color w:val="000000"/>
          <w:kern w:val="0"/>
          <w:sz w:val="30"/>
          <w:szCs w:val="30"/>
          <w:shd w:val="clear" w:color="auto" w:fill="FFFFFF"/>
        </w:rPr>
      </w:pPr>
      <w:r>
        <w:rPr>
          <w:rFonts w:hint="eastAsia" w:ascii="仿宋_GB2312" w:hAnsi="仿宋" w:eastAsia="仿宋_GB2312" w:cs="宋体"/>
          <w:sz w:val="30"/>
          <w:szCs w:val="30"/>
        </w:rPr>
        <w:t>答：</w:t>
      </w:r>
      <w:r>
        <w:rPr>
          <w:rFonts w:hint="eastAsia" w:ascii="仿宋_GB2312" w:hAnsi="仿宋" w:eastAsia="仿宋_GB2312" w:cs="仿宋"/>
          <w:color w:val="000000"/>
          <w:kern w:val="0"/>
          <w:sz w:val="30"/>
          <w:szCs w:val="30"/>
          <w:shd w:val="clear" w:color="auto" w:fill="FFFFFF"/>
        </w:rPr>
        <w:t>专业技术人员每年须完成公需科目学习不少于30学时（1个专题），因故未及时参加学习的，可顺延至下一年度补学，</w:t>
      </w:r>
      <w:r>
        <w:rPr>
          <w:rFonts w:hint="eastAsia" w:ascii="仿宋_GB2312" w:hAnsi="仿宋" w:eastAsia="仿宋_GB2312" w:cs="仿宋_GB2312"/>
          <w:sz w:val="30"/>
          <w:szCs w:val="30"/>
        </w:rPr>
        <w:t>但不得在一个年度内突击完成所需学时</w:t>
      </w:r>
      <w:r>
        <w:rPr>
          <w:rFonts w:hint="eastAsia" w:ascii="仿宋_GB2312" w:hAnsi="仿宋" w:eastAsia="仿宋_GB2312" w:cs="仿宋"/>
          <w:color w:val="000000"/>
          <w:kern w:val="0"/>
          <w:sz w:val="30"/>
          <w:szCs w:val="30"/>
          <w:shd w:val="clear" w:color="auto" w:fill="FFFFFF"/>
        </w:rPr>
        <w:t>。</w:t>
      </w:r>
    </w:p>
    <w:p>
      <w:pPr>
        <w:spacing w:line="360" w:lineRule="auto"/>
        <w:jc w:val="left"/>
        <w:rPr>
          <w:rFonts w:ascii="黑体" w:hAnsi="黑体" w:eastAsia="黑体" w:cs="宋体"/>
          <w:b w:val="0"/>
          <w:bCs w:val="0"/>
          <w:sz w:val="30"/>
          <w:szCs w:val="30"/>
        </w:rPr>
      </w:pPr>
      <w:r>
        <w:rPr>
          <w:rFonts w:hint="eastAsia" w:ascii="黑体" w:hAnsi="黑体" w:eastAsia="黑体" w:cs="宋体"/>
          <w:sz w:val="30"/>
          <w:szCs w:val="30"/>
        </w:rPr>
        <w:t xml:space="preserve">    </w:t>
      </w:r>
      <w:r>
        <w:rPr>
          <w:rFonts w:hint="eastAsia" w:ascii="黑体" w:hAnsi="黑体" w:eastAsia="黑体" w:cs="宋体"/>
          <w:b w:val="0"/>
          <w:bCs w:val="0"/>
          <w:sz w:val="30"/>
          <w:szCs w:val="30"/>
        </w:rPr>
        <w:t>十八、问：报名一个专题是多少学时？</w:t>
      </w:r>
    </w:p>
    <w:p>
      <w:pPr>
        <w:spacing w:line="360" w:lineRule="auto"/>
        <w:ind w:firstLine="600" w:firstLineChars="200"/>
        <w:jc w:val="left"/>
        <w:rPr>
          <w:rFonts w:hint="eastAsia" w:ascii="仿宋_GB2312" w:hAnsi="仿宋" w:eastAsia="仿宋_GB2312" w:cs="宋体"/>
          <w:sz w:val="30"/>
          <w:szCs w:val="30"/>
        </w:rPr>
      </w:pPr>
      <w:r>
        <w:rPr>
          <w:rFonts w:hint="eastAsia" w:ascii="仿宋_GB2312" w:hAnsi="仿宋" w:eastAsia="仿宋_GB2312" w:cs="宋体"/>
          <w:sz w:val="30"/>
          <w:szCs w:val="30"/>
        </w:rPr>
        <w:t>答：一个专题30学时。</w:t>
      </w:r>
    </w:p>
    <w:p>
      <w:pPr>
        <w:spacing w:line="360" w:lineRule="auto"/>
        <w:ind w:firstLine="600" w:firstLineChars="200"/>
        <w:jc w:val="left"/>
        <w:rPr>
          <w:rFonts w:ascii="黑体" w:hAnsi="黑体" w:eastAsia="黑体" w:cs="宋体"/>
          <w:b w:val="0"/>
          <w:bCs w:val="0"/>
          <w:sz w:val="30"/>
          <w:szCs w:val="30"/>
        </w:rPr>
      </w:pPr>
      <w:r>
        <w:rPr>
          <w:rFonts w:hint="eastAsia" w:ascii="黑体" w:hAnsi="黑体" w:eastAsia="黑体" w:cs="宋体"/>
          <w:b w:val="0"/>
          <w:bCs w:val="0"/>
          <w:sz w:val="30"/>
          <w:szCs w:val="30"/>
        </w:rPr>
        <w:t>十九、问：如何评价培训机构？</w:t>
      </w:r>
    </w:p>
    <w:p>
      <w:pPr>
        <w:spacing w:line="360" w:lineRule="auto"/>
        <w:ind w:firstLine="600" w:firstLineChars="200"/>
        <w:rPr>
          <w:rFonts w:hint="eastAsia" w:ascii="仿宋_GB2312" w:hAnsi="仿宋" w:eastAsia="仿宋_GB2312" w:cs="宋体"/>
          <w:sz w:val="30"/>
          <w:szCs w:val="30"/>
        </w:rPr>
      </w:pPr>
      <w:r>
        <w:rPr>
          <w:rFonts w:hint="eastAsia" w:ascii="仿宋_GB2312" w:hAnsi="仿宋" w:eastAsia="仿宋_GB2312" w:cs="宋体"/>
          <w:sz w:val="30"/>
          <w:szCs w:val="30"/>
        </w:rPr>
        <w:t>答：学员完成培训平台2021年度公需课学习考试后，再次进入管理平台，可对培训平台进行评价，评价一经提交后不可修改不可再评，请谨慎评价。如图所示：</w:t>
      </w:r>
    </w:p>
    <w:p>
      <w:pPr>
        <w:spacing w:line="360" w:lineRule="auto"/>
        <w:jc w:val="left"/>
        <w:rPr>
          <w:rFonts w:ascii="仿宋" w:hAnsi="仿宋" w:eastAsia="仿宋" w:cs="宋体"/>
          <w:sz w:val="24"/>
          <w:szCs w:val="24"/>
        </w:rPr>
      </w:pPr>
      <w:r>
        <w:rPr>
          <w:rFonts w:ascii="仿宋" w:hAnsi="仿宋" w:eastAsia="仿宋"/>
          <w:sz w:val="24"/>
          <w:szCs w:val="24"/>
        </w:rPr>
        <w:drawing>
          <wp:inline distT="0" distB="0" distL="114300" distR="114300">
            <wp:extent cx="5271135" cy="2114550"/>
            <wp:effectExtent l="0" t="0" r="5715" b="0"/>
            <wp:docPr id="1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5"/>
                    <pic:cNvPicPr>
                      <a:picLocks noChangeAspect="1"/>
                    </pic:cNvPicPr>
                  </pic:nvPicPr>
                  <pic:blipFill>
                    <a:blip r:embed="rId17"/>
                    <a:stretch>
                      <a:fillRect/>
                    </a:stretch>
                  </pic:blipFill>
                  <pic:spPr>
                    <a:xfrm>
                      <a:off x="0" y="0"/>
                      <a:ext cx="5271135" cy="2114550"/>
                    </a:xfrm>
                    <a:prstGeom prst="rect">
                      <a:avLst/>
                    </a:prstGeom>
                    <a:noFill/>
                    <a:ln>
                      <a:noFill/>
                    </a:ln>
                    <a:effectLst/>
                  </pic:spPr>
                </pic:pic>
              </a:graphicData>
            </a:graphic>
          </wp:inline>
        </w:drawing>
      </w:r>
    </w:p>
    <w:p>
      <w:pPr>
        <w:spacing w:line="360" w:lineRule="auto"/>
        <w:jc w:val="left"/>
        <w:rPr>
          <w:rFonts w:hint="eastAsia" w:ascii="黑体" w:hAnsi="黑体" w:eastAsia="黑体" w:cs="宋体"/>
          <w:b w:val="0"/>
          <w:bCs/>
          <w:sz w:val="30"/>
          <w:szCs w:val="30"/>
        </w:rPr>
      </w:pPr>
      <w:r>
        <w:rPr>
          <w:rFonts w:hint="eastAsia" w:ascii="仿宋" w:hAnsi="仿宋" w:eastAsia="仿宋"/>
          <w:sz w:val="24"/>
          <w:szCs w:val="24"/>
        </w:rPr>
        <w:t xml:space="preserve">    </w:t>
      </w:r>
      <w:r>
        <w:rPr>
          <w:rFonts w:hint="eastAsia" w:ascii="黑体" w:hAnsi="黑体" w:eastAsia="黑体"/>
          <w:sz w:val="24"/>
          <w:szCs w:val="24"/>
        </w:rPr>
        <w:t xml:space="preserve"> </w:t>
      </w:r>
      <w:r>
        <w:rPr>
          <w:rFonts w:hint="eastAsia" w:ascii="黑体" w:hAnsi="黑体" w:eastAsia="黑体" w:cs="宋体"/>
          <w:b w:val="0"/>
          <w:bCs/>
          <w:sz w:val="30"/>
          <w:szCs w:val="30"/>
        </w:rPr>
        <w:t>二十、问：自省外调入的专业技术人员继续教育有什么规定？</w:t>
      </w:r>
    </w:p>
    <w:p>
      <w:pPr>
        <w:ind w:firstLine="600" w:firstLineChars="200"/>
        <w:jc w:val="left"/>
        <w:rPr>
          <w:rFonts w:hint="eastAsia" w:ascii="仿宋_GB2312" w:hAnsi="仿宋" w:eastAsia="仿宋_GB2312"/>
          <w:sz w:val="30"/>
          <w:szCs w:val="30"/>
        </w:rPr>
      </w:pPr>
      <w:r>
        <w:rPr>
          <w:rFonts w:hint="eastAsia" w:ascii="仿宋_GB2312" w:hAnsi="仿宋" w:eastAsia="仿宋_GB2312"/>
          <w:sz w:val="30"/>
          <w:szCs w:val="30"/>
        </w:rPr>
        <w:t>答：自省外调入的专业技术人员，从其调入后当年按照我省继续教育政策执行。</w:t>
      </w:r>
    </w:p>
    <w:p>
      <w:pPr>
        <w:spacing w:line="360" w:lineRule="auto"/>
        <w:jc w:val="left"/>
        <w:rPr>
          <w:rFonts w:hint="eastAsia" w:ascii="黑体" w:hAnsi="黑体" w:eastAsia="黑体" w:cs="宋体"/>
          <w:b w:val="0"/>
          <w:bCs/>
          <w:sz w:val="30"/>
          <w:szCs w:val="30"/>
        </w:rPr>
      </w:pPr>
      <w:r>
        <w:rPr>
          <w:rFonts w:hint="eastAsia" w:ascii="仿宋_GB2312" w:hAnsi="仿宋" w:eastAsia="仿宋_GB2312"/>
          <w:sz w:val="30"/>
          <w:szCs w:val="30"/>
        </w:rPr>
        <w:t xml:space="preserve">   </w:t>
      </w:r>
      <w:r>
        <w:rPr>
          <w:rFonts w:hint="eastAsia" w:ascii="黑体" w:hAnsi="黑体" w:eastAsia="黑体"/>
          <w:sz w:val="30"/>
          <w:szCs w:val="30"/>
        </w:rPr>
        <w:t xml:space="preserve"> </w:t>
      </w:r>
      <w:r>
        <w:rPr>
          <w:rFonts w:hint="eastAsia" w:ascii="黑体" w:hAnsi="黑体" w:eastAsia="黑体" w:cs="宋体"/>
          <w:b w:val="0"/>
          <w:bCs/>
          <w:sz w:val="30"/>
          <w:szCs w:val="30"/>
        </w:rPr>
        <w:t>二十一、问：对通过非社会化评审取得职称的，在申报社会化评审时，继续教育有什么规定？</w:t>
      </w:r>
    </w:p>
    <w:p>
      <w:pPr>
        <w:ind w:firstLine="600" w:firstLineChars="200"/>
        <w:rPr>
          <w:rFonts w:hint="eastAsia" w:ascii="仿宋_GB2312" w:eastAsia="仿宋_GB2312"/>
          <w:sz w:val="30"/>
          <w:szCs w:val="30"/>
        </w:rPr>
      </w:pPr>
      <w:r>
        <w:rPr>
          <w:rFonts w:hint="eastAsia" w:ascii="仿宋_GB2312" w:hAnsi="仿宋" w:eastAsia="仿宋_GB2312"/>
          <w:sz w:val="30"/>
          <w:szCs w:val="30"/>
        </w:rPr>
        <w:t>答：对通过非社会化评审取得职称的，在申报社会化评审时，继续教育学时自2018年度开始计算。</w:t>
      </w:r>
    </w:p>
    <w:p>
      <w:bookmarkStart w:id="0" w:name="_GoBack"/>
      <w:bookmarkEnd w:id="0"/>
    </w:p>
    <w:sectPr>
      <w:footerReference r:id="rId3" w:type="default"/>
      <w:footerReference r:id="rId4" w:type="even"/>
      <w:pgSz w:w="11906" w:h="16838"/>
      <w:pgMar w:top="1758" w:right="1418" w:bottom="1758" w:left="1418" w:header="851" w:footer="1418" w:gutter="0"/>
      <w:pgNumType w:fmt="numberInDash"/>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等线">
    <w:altName w:val="Arial Unicode MS"/>
    <w:panose1 w:val="02010600030101010101"/>
    <w:charset w:val="86"/>
    <w:family w:val="auto"/>
    <w:pitch w:val="default"/>
    <w:sig w:usb0="00000000" w:usb1="00000000" w:usb2="00000016" w:usb3="00000000" w:csb0="0004000F" w:csb1="00000000"/>
  </w:font>
  <w:font w:name="等线">
    <w:altName w:val="Arial Unicode MS"/>
    <w:panose1 w:val="00000000000000000000"/>
    <w:charset w:val="86"/>
    <w:family w:val="auto"/>
    <w:pitch w:val="default"/>
    <w:sig w:usb0="00000000" w:usb1="00000000" w:usb2="00000000" w:usb3="00000000" w:csb0="00000000" w:csb1="00000000"/>
  </w:font>
  <w:font w:name="等线">
    <w:altName w:val="Arial Unicode MS"/>
    <w:panose1 w:val="00000000000000000000"/>
    <w:charset w:val="00"/>
    <w:family w:val="auto"/>
    <w:pitch w:val="default"/>
    <w:sig w:usb0="00000000" w:usb1="00000000" w:usb2="00000000" w:usb3="00000000" w:csb0="00000000" w:csb1="00000000"/>
  </w:font>
  <w:font w:name="方正小标宋简体">
    <w:panose1 w:val="02000000000000000000"/>
    <w:charset w:val="86"/>
    <w:family w:val="auto"/>
    <w:pitch w:val="default"/>
    <w:sig w:usb0="A00002BF" w:usb1="184F6CFA" w:usb2="00000012" w:usb3="00000000" w:csb0="00040001"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2010609030101010101"/>
    <w:charset w:val="86"/>
    <w:family w:val="modern"/>
    <w:pitch w:val="default"/>
    <w:sig w:usb0="00000000" w:usb1="00000000" w:usb2="00000000" w:usb3="00000000" w:csb0="00040000" w:csb1="00000000"/>
  </w:font>
  <w:font w:name="Arial Unicode MS">
    <w:panose1 w:val="020B0604020202020204"/>
    <w:charset w:val="86"/>
    <w:family w:val="auto"/>
    <w:pitch w:val="default"/>
    <w:sig w:usb0="FFFFFFFF" w:usb1="E9FFFFFF" w:usb2="0000003F" w:usb3="00000000" w:csb0="603F01FF" w:csb1="FFFF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right="180"/>
      <w:jc w:val="right"/>
      <w:rPr>
        <w:rFonts w:ascii="宋体" w:hAnsi="宋体" w:eastAsia="宋体"/>
        <w:sz w:val="28"/>
        <w:szCs w:val="28"/>
      </w:rPr>
    </w:pPr>
    <w:r>
      <w:rPr>
        <w:rFonts w:ascii="宋体" w:hAnsi="宋体" w:eastAsia="宋体"/>
        <w:sz w:val="28"/>
        <w:szCs w:val="28"/>
      </w:rPr>
      <w:fldChar w:fldCharType="begin"/>
    </w:r>
    <w:r>
      <w:rPr>
        <w:rFonts w:ascii="宋体" w:hAnsi="宋体" w:eastAsia="宋体"/>
        <w:sz w:val="28"/>
        <w:szCs w:val="28"/>
      </w:rPr>
      <w:instrText xml:space="preserve"> PAGE   \* MERGEFORMAT </w:instrText>
    </w:r>
    <w:r>
      <w:rPr>
        <w:rFonts w:ascii="宋体" w:hAnsi="宋体" w:eastAsia="宋体"/>
        <w:sz w:val="28"/>
        <w:szCs w:val="28"/>
      </w:rPr>
      <w:fldChar w:fldCharType="separate"/>
    </w:r>
    <w:r>
      <w:rPr>
        <w:rFonts w:ascii="宋体" w:hAnsi="宋体" w:eastAsia="宋体"/>
        <w:sz w:val="28"/>
        <w:szCs w:val="28"/>
        <w:lang w:val="zh-CN"/>
      </w:rPr>
      <w:t>-</w:t>
    </w:r>
    <w:r>
      <w:rPr>
        <w:rFonts w:ascii="宋体" w:hAnsi="宋体" w:eastAsia="宋体"/>
        <w:sz w:val="28"/>
        <w:szCs w:val="28"/>
      </w:rPr>
      <w:t xml:space="preserve"> 23 -</w:t>
    </w:r>
    <w:r>
      <w:rPr>
        <w:rFonts w:ascii="宋体" w:hAnsi="宋体" w:eastAsia="宋体"/>
        <w:sz w:val="28"/>
        <w:szCs w:val="28"/>
      </w:rPr>
      <w:fldChar w:fldCharType="end"/>
    </w:r>
  </w:p>
  <w:p>
    <w:pPr>
      <w:pStyle w:val="3"/>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ind w:right="360"/>
      <w:jc w:val="left"/>
      <w:rPr>
        <w:rFonts w:ascii="宋体" w:hAnsi="宋体" w:eastAsia="宋体"/>
      </w:rPr>
    </w:pPr>
    <w:r>
      <w:rPr>
        <w:rFonts w:ascii="宋体" w:hAnsi="宋体" w:eastAsia="宋体"/>
        <w:sz w:val="28"/>
        <w:szCs w:val="28"/>
      </w:rPr>
      <w:fldChar w:fldCharType="begin"/>
    </w:r>
    <w:r>
      <w:rPr>
        <w:rFonts w:ascii="宋体" w:hAnsi="宋体" w:eastAsia="宋体"/>
        <w:sz w:val="28"/>
        <w:szCs w:val="28"/>
      </w:rPr>
      <w:instrText xml:space="preserve"> PAGE   \* MERGEFORMAT </w:instrText>
    </w:r>
    <w:r>
      <w:rPr>
        <w:rFonts w:ascii="宋体" w:hAnsi="宋体" w:eastAsia="宋体"/>
        <w:sz w:val="28"/>
        <w:szCs w:val="28"/>
      </w:rPr>
      <w:fldChar w:fldCharType="separate"/>
    </w:r>
    <w:r>
      <w:rPr>
        <w:rFonts w:ascii="宋体" w:hAnsi="宋体" w:eastAsia="宋体"/>
        <w:sz w:val="28"/>
        <w:szCs w:val="28"/>
        <w:lang w:val="zh-CN"/>
      </w:rPr>
      <w:t>-</w:t>
    </w:r>
    <w:r>
      <w:rPr>
        <w:rFonts w:ascii="宋体" w:hAnsi="宋体" w:eastAsia="宋体"/>
        <w:sz w:val="28"/>
        <w:szCs w:val="28"/>
      </w:rPr>
      <w:t xml:space="preserve"> 24 -</w:t>
    </w:r>
    <w:r>
      <w:rPr>
        <w:rFonts w:ascii="宋体" w:hAnsi="宋体" w:eastAsia="宋体"/>
        <w:sz w:val="28"/>
        <w:szCs w:val="28"/>
      </w:rPr>
      <w:fldChar w:fldCharType="end"/>
    </w:r>
  </w:p>
  <w:p>
    <w:pPr>
      <w:pStyle w:val="3"/>
    </w:pP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view w:val="normal"/>
  <w:zoom w:percent="8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535B"/>
    <w:rsid w:val="000B7CF9"/>
    <w:rsid w:val="00493D8D"/>
    <w:rsid w:val="00F1535B"/>
    <w:rsid w:val="07475AAD"/>
    <w:rsid w:val="0B53430E"/>
    <w:rsid w:val="3E9B314E"/>
    <w:rsid w:val="582D3DB3"/>
    <w:rsid w:val="5DC77D1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qFormat="1" w:uiPriority="99" w:semiHidden="0"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unhideWhenUsed/>
    <w:qFormat/>
    <w:uiPriority w:val="1"/>
  </w:style>
  <w:style w:type="table" w:default="1" w:styleId="5">
    <w:name w:val="Normal Table"/>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unhideWhenUsed/>
    <w:qFormat/>
    <w:uiPriority w:val="99"/>
    <w:pPr>
      <w:tabs>
        <w:tab w:val="center" w:pos="4153"/>
        <w:tab w:val="right" w:pos="8306"/>
      </w:tabs>
      <w:snapToGrid w:val="0"/>
      <w:jc w:val="left"/>
    </w:pPr>
    <w:rPr>
      <w:sz w:val="18"/>
      <w:szCs w:val="18"/>
    </w:rPr>
  </w:style>
  <w:style w:type="paragraph" w:styleId="4">
    <w:name w:val="Body Text First Indent"/>
    <w:basedOn w:val="2"/>
    <w:unhideWhenUsed/>
    <w:qFormat/>
    <w:uiPriority w:val="99"/>
    <w:pPr>
      <w:spacing w:before="120" w:after="240"/>
      <w:ind w:left="100" w:leftChars="100" w:firstLine="420" w:firstLineChars="100"/>
    </w:pPr>
    <w:rPr>
      <w:rFonts w:ascii="等线" w:hAnsi="等线" w:eastAsia="等线" w:cs="Times New Roman"/>
    </w:rPr>
  </w:style>
  <w:style w:type="character" w:styleId="7">
    <w:name w:val="Strong"/>
    <w:basedOn w:val="6"/>
    <w:qFormat/>
    <w:uiPriority w:val="22"/>
    <w:rPr>
      <w:b/>
    </w:rPr>
  </w:style>
  <w:style w:type="paragraph" w:customStyle="1" w:styleId="8">
    <w:name w:val="_Style 3"/>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jpe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customXml" Target="../customXml/item1.xml"/><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0</TotalTime>
  <ScaleCrop>false</ScaleCrop>
  <LinksUpToDate>false</LinksUpToDate>
  <CharactersWithSpaces>0</CharactersWithSpaces>
  <Application>WPS Office_11.1.0.10463_F1E327BC-269C-435d-A152-05C5408002CA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2021-04-06T03:20:00Z</dcterms:created>
  <dc:creator>施 佾明</dc:creator>
  <cp:lastModifiedBy>茜茜</cp:lastModifiedBy>
  <dcterms:modified xsi:type="dcterms:W3CDTF">2021-05-07T07:47:26Z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2052-11.1.0.10463</vt:lpwstr>
  </property>
  <property fmtid="{D5CDD505-2E9C-101B-9397-08002B2CF9AE}" pid="3" name="ICV">
    <vt:lpwstr>682172A9AD5E41D2A74830A9894F9BE6</vt:lpwstr>
  </property>
</Properties>
</file>